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47AFE" w14:textId="3A2B7B53" w:rsidR="005718F4" w:rsidRDefault="00487838" w:rsidP="00065443">
      <w:pPr>
        <w:pStyle w:val="Heading1"/>
        <w:rPr>
          <w:rFonts w:eastAsia="Aptos"/>
        </w:rPr>
      </w:pPr>
      <w:bookmarkStart w:id="0" w:name="_Toc233114836"/>
      <w:bookmarkStart w:id="1" w:name="_Toc236121076"/>
      <w:r w:rsidRPr="002C6DEB">
        <w:rPr>
          <w:rFonts w:eastAsia="Aptos"/>
        </w:rPr>
        <w:t xml:space="preserve">MSDI </w:t>
      </w:r>
      <w:r w:rsidR="00E334EC">
        <w:rPr>
          <w:rFonts w:eastAsia="Aptos"/>
        </w:rPr>
        <w:t>Elevation</w:t>
      </w:r>
      <w:r w:rsidRPr="002C6DEB">
        <w:rPr>
          <w:rFonts w:eastAsia="Aptos"/>
        </w:rPr>
        <w:t xml:space="preserve"> T</w:t>
      </w:r>
      <w:r w:rsidR="3E60AAF6" w:rsidRPr="002C6DEB">
        <w:rPr>
          <w:rFonts w:eastAsia="Aptos"/>
        </w:rPr>
        <w:t>heme Plan</w:t>
      </w:r>
      <w:bookmarkEnd w:id="0"/>
      <w:bookmarkEnd w:id="1"/>
    </w:p>
    <w:p w14:paraId="71885226" w14:textId="67777294" w:rsidR="002C6DEB" w:rsidRDefault="009F6B0C" w:rsidP="006F7E79">
      <w:pPr>
        <w:rPr>
          <w:sz w:val="20"/>
          <w:szCs w:val="20"/>
        </w:rPr>
      </w:pPr>
      <w:r w:rsidRPr="004A5F12">
        <w:rPr>
          <w:sz w:val="20"/>
          <w:szCs w:val="20"/>
        </w:rPr>
        <w:t>Last updated</w:t>
      </w:r>
      <w:r w:rsidR="00E334EC">
        <w:rPr>
          <w:sz w:val="20"/>
          <w:szCs w:val="20"/>
        </w:rPr>
        <w:t xml:space="preserve"> July </w:t>
      </w:r>
      <w:r w:rsidR="00EE7834">
        <w:rPr>
          <w:sz w:val="20"/>
          <w:szCs w:val="20"/>
        </w:rPr>
        <w:t>28</w:t>
      </w:r>
      <w:r w:rsidRPr="004A5F12">
        <w:rPr>
          <w:sz w:val="20"/>
          <w:szCs w:val="20"/>
        </w:rPr>
        <w:t>, 2026</w:t>
      </w:r>
    </w:p>
    <w:p w14:paraId="24D42DBB" w14:textId="77777777" w:rsidR="00EE7834" w:rsidRPr="004A5F12" w:rsidRDefault="00EE7834" w:rsidP="006F7E79">
      <w:pPr>
        <w:rPr>
          <w:rFonts w:ascii="Aptos" w:eastAsia="Aptos" w:hAnsi="Aptos" w:cs="Aptos"/>
          <w:color w:val="000000" w:themeColor="text1"/>
          <w:sz w:val="20"/>
          <w:szCs w:val="20"/>
        </w:rPr>
      </w:pPr>
    </w:p>
    <w:sdt>
      <w:sdtPr>
        <w:rPr>
          <w:rFonts w:asciiTheme="minorHAnsi" w:eastAsiaTheme="minorEastAsia" w:hAnsiTheme="minorHAnsi" w:cstheme="minorBidi"/>
          <w:color w:val="auto"/>
          <w:sz w:val="18"/>
          <w:szCs w:val="18"/>
          <w:lang w:eastAsia="ja-JP"/>
        </w:rPr>
        <w:id w:val="1244684779"/>
        <w:docPartObj>
          <w:docPartGallery w:val="Table of Contents"/>
          <w:docPartUnique/>
        </w:docPartObj>
      </w:sdtPr>
      <w:sdtEndPr>
        <w:rPr>
          <w:b/>
          <w:bCs/>
          <w:noProof/>
        </w:rPr>
      </w:sdtEndPr>
      <w:sdtContent>
        <w:p w14:paraId="73484D0C" w14:textId="148DF5B8" w:rsidR="00D2002F" w:rsidRPr="00544B69" w:rsidRDefault="00D2002F">
          <w:pPr>
            <w:pStyle w:val="TOCHeading"/>
            <w:rPr>
              <w:rStyle w:val="Heading2Char"/>
            </w:rPr>
          </w:pPr>
          <w:r w:rsidRPr="00544B69">
            <w:rPr>
              <w:rStyle w:val="Heading2Char"/>
            </w:rPr>
            <w:t>Table of Contents</w:t>
          </w:r>
        </w:p>
        <w:p w14:paraId="5AE54FC0" w14:textId="77777777" w:rsidR="00EE7834" w:rsidRDefault="00544B69" w:rsidP="00544B69">
          <w:pPr>
            <w:pStyle w:val="TOC1"/>
            <w:tabs>
              <w:tab w:val="right" w:leader="dot" w:pos="9350"/>
            </w:tabs>
            <w:rPr>
              <w:noProof/>
            </w:rPr>
          </w:pPr>
          <w:r>
            <w:rPr>
              <w:sz w:val="16"/>
              <w:szCs w:val="16"/>
            </w:rPr>
            <w:t xml:space="preserve">       </w:t>
          </w:r>
          <w:r w:rsidR="00D2002F" w:rsidRPr="006F7E79">
            <w:rPr>
              <w:sz w:val="16"/>
              <w:szCs w:val="16"/>
            </w:rPr>
            <w:fldChar w:fldCharType="begin"/>
          </w:r>
          <w:r w:rsidR="00D2002F" w:rsidRPr="006F7E79">
            <w:rPr>
              <w:sz w:val="16"/>
              <w:szCs w:val="16"/>
            </w:rPr>
            <w:instrText xml:space="preserve"> TOC \o "1-3" \h \z \u </w:instrText>
          </w:r>
          <w:r w:rsidR="00D2002F" w:rsidRPr="006F7E79">
            <w:rPr>
              <w:sz w:val="16"/>
              <w:szCs w:val="16"/>
            </w:rPr>
            <w:fldChar w:fldCharType="separate"/>
          </w:r>
        </w:p>
        <w:p w14:paraId="2A315EE1" w14:textId="31FAD062" w:rsidR="00EE7834" w:rsidRDefault="00EE7834">
          <w:pPr>
            <w:pStyle w:val="TOC1"/>
            <w:tabs>
              <w:tab w:val="right" w:leader="dot" w:pos="9350"/>
            </w:tabs>
            <w:rPr>
              <w:noProof/>
              <w:kern w:val="2"/>
              <w:lang w:eastAsia="en-US"/>
              <w14:ligatures w14:val="standardContextual"/>
            </w:rPr>
          </w:pPr>
          <w:hyperlink w:anchor="_Toc236121076" w:history="1">
            <w:r w:rsidRPr="004C3E49">
              <w:rPr>
                <w:rStyle w:val="Hyperlink"/>
                <w:rFonts w:eastAsia="Aptos"/>
                <w:noProof/>
              </w:rPr>
              <w:t>MSDI Elevation Theme Plan</w:t>
            </w:r>
            <w:r>
              <w:rPr>
                <w:noProof/>
                <w:webHidden/>
              </w:rPr>
              <w:tab/>
            </w:r>
            <w:r>
              <w:rPr>
                <w:noProof/>
                <w:webHidden/>
              </w:rPr>
              <w:fldChar w:fldCharType="begin"/>
            </w:r>
            <w:r>
              <w:rPr>
                <w:noProof/>
                <w:webHidden/>
              </w:rPr>
              <w:instrText xml:space="preserve"> PAGEREF _Toc236121076 \h </w:instrText>
            </w:r>
            <w:r>
              <w:rPr>
                <w:noProof/>
                <w:webHidden/>
              </w:rPr>
            </w:r>
            <w:r>
              <w:rPr>
                <w:noProof/>
                <w:webHidden/>
              </w:rPr>
              <w:fldChar w:fldCharType="separate"/>
            </w:r>
            <w:r>
              <w:rPr>
                <w:noProof/>
                <w:webHidden/>
              </w:rPr>
              <w:t>1</w:t>
            </w:r>
            <w:r>
              <w:rPr>
                <w:noProof/>
                <w:webHidden/>
              </w:rPr>
              <w:fldChar w:fldCharType="end"/>
            </w:r>
          </w:hyperlink>
        </w:p>
        <w:p w14:paraId="4311A751" w14:textId="223FC941" w:rsidR="00EE7834" w:rsidRDefault="00EE7834">
          <w:pPr>
            <w:pStyle w:val="TOC2"/>
            <w:tabs>
              <w:tab w:val="right" w:leader="dot" w:pos="9350"/>
            </w:tabs>
            <w:rPr>
              <w:noProof/>
              <w:kern w:val="2"/>
              <w:lang w:eastAsia="en-US"/>
              <w14:ligatures w14:val="standardContextual"/>
            </w:rPr>
          </w:pPr>
          <w:hyperlink w:anchor="_Toc236121077" w:history="1">
            <w:r w:rsidRPr="004C3E49">
              <w:rPr>
                <w:rStyle w:val="Hyperlink"/>
                <w:rFonts w:eastAsia="Aptos"/>
                <w:noProof/>
              </w:rPr>
              <w:t>Executive Summary</w:t>
            </w:r>
            <w:r>
              <w:rPr>
                <w:noProof/>
                <w:webHidden/>
              </w:rPr>
              <w:tab/>
            </w:r>
            <w:r>
              <w:rPr>
                <w:noProof/>
                <w:webHidden/>
              </w:rPr>
              <w:fldChar w:fldCharType="begin"/>
            </w:r>
            <w:r>
              <w:rPr>
                <w:noProof/>
                <w:webHidden/>
              </w:rPr>
              <w:instrText xml:space="preserve"> PAGEREF _Toc236121077 \h </w:instrText>
            </w:r>
            <w:r>
              <w:rPr>
                <w:noProof/>
                <w:webHidden/>
              </w:rPr>
            </w:r>
            <w:r>
              <w:rPr>
                <w:noProof/>
                <w:webHidden/>
              </w:rPr>
              <w:fldChar w:fldCharType="separate"/>
            </w:r>
            <w:r>
              <w:rPr>
                <w:noProof/>
                <w:webHidden/>
              </w:rPr>
              <w:t>2</w:t>
            </w:r>
            <w:r>
              <w:rPr>
                <w:noProof/>
                <w:webHidden/>
              </w:rPr>
              <w:fldChar w:fldCharType="end"/>
            </w:r>
          </w:hyperlink>
        </w:p>
        <w:p w14:paraId="174CB681" w14:textId="3AAD9410" w:rsidR="00EE7834" w:rsidRDefault="00EE7834">
          <w:pPr>
            <w:pStyle w:val="TOC2"/>
            <w:tabs>
              <w:tab w:val="right" w:leader="dot" w:pos="9350"/>
            </w:tabs>
            <w:rPr>
              <w:noProof/>
              <w:kern w:val="2"/>
              <w:lang w:eastAsia="en-US"/>
              <w14:ligatures w14:val="standardContextual"/>
            </w:rPr>
          </w:pPr>
          <w:hyperlink w:anchor="_Toc236121078" w:history="1">
            <w:r w:rsidRPr="004C3E49">
              <w:rPr>
                <w:rStyle w:val="Hyperlink"/>
                <w:noProof/>
              </w:rPr>
              <w:t>Theme Definition and Description</w:t>
            </w:r>
            <w:r>
              <w:rPr>
                <w:noProof/>
                <w:webHidden/>
              </w:rPr>
              <w:tab/>
            </w:r>
            <w:r>
              <w:rPr>
                <w:noProof/>
                <w:webHidden/>
              </w:rPr>
              <w:fldChar w:fldCharType="begin"/>
            </w:r>
            <w:r>
              <w:rPr>
                <w:noProof/>
                <w:webHidden/>
              </w:rPr>
              <w:instrText xml:space="preserve"> PAGEREF _Toc236121078 \h </w:instrText>
            </w:r>
            <w:r>
              <w:rPr>
                <w:noProof/>
                <w:webHidden/>
              </w:rPr>
            </w:r>
            <w:r>
              <w:rPr>
                <w:noProof/>
                <w:webHidden/>
              </w:rPr>
              <w:fldChar w:fldCharType="separate"/>
            </w:r>
            <w:r>
              <w:rPr>
                <w:noProof/>
                <w:webHidden/>
              </w:rPr>
              <w:t>2</w:t>
            </w:r>
            <w:r>
              <w:rPr>
                <w:noProof/>
                <w:webHidden/>
              </w:rPr>
              <w:fldChar w:fldCharType="end"/>
            </w:r>
          </w:hyperlink>
        </w:p>
        <w:p w14:paraId="750231CD" w14:textId="541057F2" w:rsidR="00EE7834" w:rsidRDefault="00EE7834">
          <w:pPr>
            <w:pStyle w:val="TOC3"/>
            <w:tabs>
              <w:tab w:val="right" w:leader="dot" w:pos="9350"/>
            </w:tabs>
            <w:rPr>
              <w:noProof/>
              <w:kern w:val="2"/>
              <w:lang w:eastAsia="en-US"/>
              <w14:ligatures w14:val="standardContextual"/>
            </w:rPr>
          </w:pPr>
          <w:hyperlink w:anchor="_Toc236121079" w:history="1">
            <w:r w:rsidRPr="004C3E49">
              <w:rPr>
                <w:rStyle w:val="Hyperlink"/>
                <w:rFonts w:eastAsia="Aptos"/>
                <w:noProof/>
              </w:rPr>
              <w:t>Core Products</w:t>
            </w:r>
            <w:r>
              <w:rPr>
                <w:noProof/>
                <w:webHidden/>
              </w:rPr>
              <w:tab/>
            </w:r>
            <w:r>
              <w:rPr>
                <w:noProof/>
                <w:webHidden/>
              </w:rPr>
              <w:fldChar w:fldCharType="begin"/>
            </w:r>
            <w:r>
              <w:rPr>
                <w:noProof/>
                <w:webHidden/>
              </w:rPr>
              <w:instrText xml:space="preserve"> PAGEREF _Toc236121079 \h </w:instrText>
            </w:r>
            <w:r>
              <w:rPr>
                <w:noProof/>
                <w:webHidden/>
              </w:rPr>
            </w:r>
            <w:r>
              <w:rPr>
                <w:noProof/>
                <w:webHidden/>
              </w:rPr>
              <w:fldChar w:fldCharType="separate"/>
            </w:r>
            <w:r>
              <w:rPr>
                <w:noProof/>
                <w:webHidden/>
              </w:rPr>
              <w:t>3</w:t>
            </w:r>
            <w:r>
              <w:rPr>
                <w:noProof/>
                <w:webHidden/>
              </w:rPr>
              <w:fldChar w:fldCharType="end"/>
            </w:r>
          </w:hyperlink>
        </w:p>
        <w:p w14:paraId="703D757D" w14:textId="2D051B77" w:rsidR="00EE7834" w:rsidRDefault="00EE7834">
          <w:pPr>
            <w:pStyle w:val="TOC2"/>
            <w:tabs>
              <w:tab w:val="right" w:leader="dot" w:pos="9350"/>
            </w:tabs>
            <w:rPr>
              <w:noProof/>
              <w:kern w:val="2"/>
              <w:lang w:eastAsia="en-US"/>
              <w14:ligatures w14:val="standardContextual"/>
            </w:rPr>
          </w:pPr>
          <w:hyperlink w:anchor="_Toc236121080" w:history="1">
            <w:r w:rsidRPr="004C3E49">
              <w:rPr>
                <w:rStyle w:val="Hyperlink"/>
                <w:rFonts w:eastAsia="Aptos"/>
                <w:noProof/>
              </w:rPr>
              <w:t xml:space="preserve">Elevation </w:t>
            </w:r>
            <w:r w:rsidR="00221616">
              <w:rPr>
                <w:rStyle w:val="Hyperlink"/>
                <w:rFonts w:eastAsia="Aptos"/>
                <w:noProof/>
              </w:rPr>
              <w:t>T</w:t>
            </w:r>
            <w:r w:rsidRPr="004C3E49">
              <w:rPr>
                <w:rStyle w:val="Hyperlink"/>
                <w:rFonts w:eastAsia="Aptos"/>
                <w:noProof/>
              </w:rPr>
              <w:t>heme Testimonials</w:t>
            </w:r>
            <w:r>
              <w:rPr>
                <w:noProof/>
                <w:webHidden/>
              </w:rPr>
              <w:tab/>
            </w:r>
            <w:r>
              <w:rPr>
                <w:noProof/>
                <w:webHidden/>
              </w:rPr>
              <w:fldChar w:fldCharType="begin"/>
            </w:r>
            <w:r>
              <w:rPr>
                <w:noProof/>
                <w:webHidden/>
              </w:rPr>
              <w:instrText xml:space="preserve"> PAGEREF _Toc236121080 \h </w:instrText>
            </w:r>
            <w:r>
              <w:rPr>
                <w:noProof/>
                <w:webHidden/>
              </w:rPr>
            </w:r>
            <w:r>
              <w:rPr>
                <w:noProof/>
                <w:webHidden/>
              </w:rPr>
              <w:fldChar w:fldCharType="separate"/>
            </w:r>
            <w:r>
              <w:rPr>
                <w:noProof/>
                <w:webHidden/>
              </w:rPr>
              <w:t>3</w:t>
            </w:r>
            <w:r>
              <w:rPr>
                <w:noProof/>
                <w:webHidden/>
              </w:rPr>
              <w:fldChar w:fldCharType="end"/>
            </w:r>
          </w:hyperlink>
        </w:p>
        <w:p w14:paraId="00D12B88" w14:textId="217FE9FD" w:rsidR="00EE7834" w:rsidRDefault="00EE7834">
          <w:pPr>
            <w:pStyle w:val="TOC2"/>
            <w:tabs>
              <w:tab w:val="right" w:leader="dot" w:pos="9350"/>
            </w:tabs>
            <w:rPr>
              <w:noProof/>
              <w:kern w:val="2"/>
              <w:lang w:eastAsia="en-US"/>
              <w14:ligatures w14:val="standardContextual"/>
            </w:rPr>
          </w:pPr>
          <w:hyperlink w:anchor="_Toc236121081" w:history="1">
            <w:r w:rsidRPr="004C3E49">
              <w:rPr>
                <w:rStyle w:val="Hyperlink"/>
                <w:rFonts w:eastAsia="Aptos"/>
                <w:noProof/>
              </w:rPr>
              <w:t>The Plan (3-5 years)</w:t>
            </w:r>
            <w:r>
              <w:rPr>
                <w:noProof/>
                <w:webHidden/>
              </w:rPr>
              <w:tab/>
            </w:r>
            <w:r>
              <w:rPr>
                <w:noProof/>
                <w:webHidden/>
              </w:rPr>
              <w:fldChar w:fldCharType="begin"/>
            </w:r>
            <w:r>
              <w:rPr>
                <w:noProof/>
                <w:webHidden/>
              </w:rPr>
              <w:instrText xml:space="preserve"> PAGEREF _Toc236121081 \h </w:instrText>
            </w:r>
            <w:r>
              <w:rPr>
                <w:noProof/>
                <w:webHidden/>
              </w:rPr>
            </w:r>
            <w:r>
              <w:rPr>
                <w:noProof/>
                <w:webHidden/>
              </w:rPr>
              <w:fldChar w:fldCharType="separate"/>
            </w:r>
            <w:r>
              <w:rPr>
                <w:noProof/>
                <w:webHidden/>
              </w:rPr>
              <w:t>4</w:t>
            </w:r>
            <w:r>
              <w:rPr>
                <w:noProof/>
                <w:webHidden/>
              </w:rPr>
              <w:fldChar w:fldCharType="end"/>
            </w:r>
          </w:hyperlink>
        </w:p>
        <w:p w14:paraId="78FAC336" w14:textId="6A39AC13" w:rsidR="00EE7834" w:rsidRDefault="00EE7834">
          <w:pPr>
            <w:pStyle w:val="TOC2"/>
            <w:tabs>
              <w:tab w:val="right" w:leader="dot" w:pos="9350"/>
            </w:tabs>
            <w:rPr>
              <w:noProof/>
              <w:kern w:val="2"/>
              <w:lang w:eastAsia="en-US"/>
              <w14:ligatures w14:val="standardContextual"/>
            </w:rPr>
          </w:pPr>
          <w:hyperlink w:anchor="_Toc236121093" w:history="1">
            <w:r w:rsidRPr="004C3E49">
              <w:rPr>
                <w:rStyle w:val="Hyperlink"/>
                <w:noProof/>
              </w:rPr>
              <w:t>Data Quality Measures</w:t>
            </w:r>
            <w:r>
              <w:rPr>
                <w:noProof/>
                <w:webHidden/>
              </w:rPr>
              <w:tab/>
            </w:r>
            <w:r>
              <w:rPr>
                <w:noProof/>
                <w:webHidden/>
              </w:rPr>
              <w:fldChar w:fldCharType="begin"/>
            </w:r>
            <w:r>
              <w:rPr>
                <w:noProof/>
                <w:webHidden/>
              </w:rPr>
              <w:instrText xml:space="preserve"> PAGEREF _Toc236121093 \h </w:instrText>
            </w:r>
            <w:r>
              <w:rPr>
                <w:noProof/>
                <w:webHidden/>
              </w:rPr>
            </w:r>
            <w:r>
              <w:rPr>
                <w:noProof/>
                <w:webHidden/>
              </w:rPr>
              <w:fldChar w:fldCharType="separate"/>
            </w:r>
            <w:r>
              <w:rPr>
                <w:noProof/>
                <w:webHidden/>
              </w:rPr>
              <w:t>8</w:t>
            </w:r>
            <w:r>
              <w:rPr>
                <w:noProof/>
                <w:webHidden/>
              </w:rPr>
              <w:fldChar w:fldCharType="end"/>
            </w:r>
          </w:hyperlink>
        </w:p>
        <w:p w14:paraId="32A3267B" w14:textId="229EE52D" w:rsidR="00EE7834" w:rsidRDefault="00EE7834">
          <w:pPr>
            <w:pStyle w:val="TOC2"/>
            <w:tabs>
              <w:tab w:val="right" w:leader="dot" w:pos="9350"/>
            </w:tabs>
            <w:rPr>
              <w:noProof/>
              <w:kern w:val="2"/>
              <w:lang w:eastAsia="en-US"/>
              <w14:ligatures w14:val="standardContextual"/>
            </w:rPr>
          </w:pPr>
          <w:hyperlink w:anchor="_Toc236121102" w:history="1">
            <w:r w:rsidRPr="004C3E49">
              <w:rPr>
                <w:rStyle w:val="Hyperlink"/>
                <w:rFonts w:eastAsia="Aptos"/>
                <w:noProof/>
              </w:rPr>
              <w:t>In the Parking Lot</w:t>
            </w:r>
            <w:r>
              <w:rPr>
                <w:noProof/>
                <w:webHidden/>
              </w:rPr>
              <w:tab/>
            </w:r>
            <w:r>
              <w:rPr>
                <w:noProof/>
                <w:webHidden/>
              </w:rPr>
              <w:fldChar w:fldCharType="begin"/>
            </w:r>
            <w:r>
              <w:rPr>
                <w:noProof/>
                <w:webHidden/>
              </w:rPr>
              <w:instrText xml:space="preserve"> PAGEREF _Toc236121102 \h </w:instrText>
            </w:r>
            <w:r>
              <w:rPr>
                <w:noProof/>
                <w:webHidden/>
              </w:rPr>
            </w:r>
            <w:r>
              <w:rPr>
                <w:noProof/>
                <w:webHidden/>
              </w:rPr>
              <w:fldChar w:fldCharType="separate"/>
            </w:r>
            <w:r>
              <w:rPr>
                <w:noProof/>
                <w:webHidden/>
              </w:rPr>
              <w:t>10</w:t>
            </w:r>
            <w:r>
              <w:rPr>
                <w:noProof/>
                <w:webHidden/>
              </w:rPr>
              <w:fldChar w:fldCharType="end"/>
            </w:r>
          </w:hyperlink>
        </w:p>
        <w:p w14:paraId="38081C38" w14:textId="2E7337B4" w:rsidR="00EE7834" w:rsidRDefault="00EE7834">
          <w:pPr>
            <w:pStyle w:val="TOC2"/>
            <w:tabs>
              <w:tab w:val="right" w:leader="dot" w:pos="9350"/>
            </w:tabs>
            <w:rPr>
              <w:noProof/>
              <w:kern w:val="2"/>
              <w:lang w:eastAsia="en-US"/>
              <w14:ligatures w14:val="standardContextual"/>
            </w:rPr>
          </w:pPr>
          <w:hyperlink w:anchor="_Toc236121103" w:history="1">
            <w:r w:rsidRPr="004C3E49">
              <w:rPr>
                <w:rStyle w:val="Hyperlink"/>
                <w:rFonts w:eastAsia="Aptos"/>
                <w:noProof/>
              </w:rPr>
              <w:t>High Level Schedule</w:t>
            </w:r>
            <w:r>
              <w:rPr>
                <w:noProof/>
                <w:webHidden/>
              </w:rPr>
              <w:tab/>
            </w:r>
            <w:r>
              <w:rPr>
                <w:noProof/>
                <w:webHidden/>
              </w:rPr>
              <w:fldChar w:fldCharType="begin"/>
            </w:r>
            <w:r>
              <w:rPr>
                <w:noProof/>
                <w:webHidden/>
              </w:rPr>
              <w:instrText xml:space="preserve"> PAGEREF _Toc236121103 \h </w:instrText>
            </w:r>
            <w:r>
              <w:rPr>
                <w:noProof/>
                <w:webHidden/>
              </w:rPr>
            </w:r>
            <w:r>
              <w:rPr>
                <w:noProof/>
                <w:webHidden/>
              </w:rPr>
              <w:fldChar w:fldCharType="separate"/>
            </w:r>
            <w:r>
              <w:rPr>
                <w:noProof/>
                <w:webHidden/>
              </w:rPr>
              <w:t>11</w:t>
            </w:r>
            <w:r>
              <w:rPr>
                <w:noProof/>
                <w:webHidden/>
              </w:rPr>
              <w:fldChar w:fldCharType="end"/>
            </w:r>
          </w:hyperlink>
        </w:p>
        <w:p w14:paraId="2A2F5A86" w14:textId="702D5EEB" w:rsidR="00EE7834" w:rsidRDefault="00EE7834">
          <w:pPr>
            <w:pStyle w:val="TOC2"/>
            <w:tabs>
              <w:tab w:val="right" w:leader="dot" w:pos="9350"/>
            </w:tabs>
            <w:rPr>
              <w:noProof/>
              <w:kern w:val="2"/>
              <w:lang w:eastAsia="en-US"/>
              <w14:ligatures w14:val="standardContextual"/>
            </w:rPr>
          </w:pPr>
          <w:hyperlink w:anchor="_Toc236121104" w:history="1">
            <w:r w:rsidRPr="004C3E49">
              <w:rPr>
                <w:rStyle w:val="Hyperlink"/>
                <w:rFonts w:eastAsia="Aptos"/>
                <w:noProof/>
              </w:rPr>
              <w:t>Theme Challenges</w:t>
            </w:r>
            <w:r>
              <w:rPr>
                <w:noProof/>
                <w:webHidden/>
              </w:rPr>
              <w:tab/>
            </w:r>
            <w:r>
              <w:rPr>
                <w:noProof/>
                <w:webHidden/>
              </w:rPr>
              <w:fldChar w:fldCharType="begin"/>
            </w:r>
            <w:r>
              <w:rPr>
                <w:noProof/>
                <w:webHidden/>
              </w:rPr>
              <w:instrText xml:space="preserve"> PAGEREF _Toc236121104 \h </w:instrText>
            </w:r>
            <w:r>
              <w:rPr>
                <w:noProof/>
                <w:webHidden/>
              </w:rPr>
            </w:r>
            <w:r>
              <w:rPr>
                <w:noProof/>
                <w:webHidden/>
              </w:rPr>
              <w:fldChar w:fldCharType="separate"/>
            </w:r>
            <w:r>
              <w:rPr>
                <w:noProof/>
                <w:webHidden/>
              </w:rPr>
              <w:t>13</w:t>
            </w:r>
            <w:r>
              <w:rPr>
                <w:noProof/>
                <w:webHidden/>
              </w:rPr>
              <w:fldChar w:fldCharType="end"/>
            </w:r>
          </w:hyperlink>
        </w:p>
        <w:p w14:paraId="75B099C6" w14:textId="547748F2" w:rsidR="00EE7834" w:rsidRDefault="00EE7834">
          <w:pPr>
            <w:pStyle w:val="TOC2"/>
            <w:tabs>
              <w:tab w:val="right" w:leader="dot" w:pos="9350"/>
            </w:tabs>
            <w:rPr>
              <w:noProof/>
              <w:kern w:val="2"/>
              <w:lang w:eastAsia="en-US"/>
              <w14:ligatures w14:val="standardContextual"/>
            </w:rPr>
          </w:pPr>
          <w:hyperlink w:anchor="_Toc236121105" w:history="1">
            <w:r w:rsidRPr="004C3E49">
              <w:rPr>
                <w:rStyle w:val="Hyperlink"/>
                <w:rFonts w:eastAsia="Aptos"/>
                <w:noProof/>
              </w:rPr>
              <w:t>Conclusion</w:t>
            </w:r>
            <w:r>
              <w:rPr>
                <w:noProof/>
                <w:webHidden/>
              </w:rPr>
              <w:tab/>
            </w:r>
            <w:r>
              <w:rPr>
                <w:noProof/>
                <w:webHidden/>
              </w:rPr>
              <w:fldChar w:fldCharType="begin"/>
            </w:r>
            <w:r>
              <w:rPr>
                <w:noProof/>
                <w:webHidden/>
              </w:rPr>
              <w:instrText xml:space="preserve"> PAGEREF _Toc236121105 \h </w:instrText>
            </w:r>
            <w:r>
              <w:rPr>
                <w:noProof/>
                <w:webHidden/>
              </w:rPr>
            </w:r>
            <w:r>
              <w:rPr>
                <w:noProof/>
                <w:webHidden/>
              </w:rPr>
              <w:fldChar w:fldCharType="separate"/>
            </w:r>
            <w:r>
              <w:rPr>
                <w:noProof/>
                <w:webHidden/>
              </w:rPr>
              <w:t>14</w:t>
            </w:r>
            <w:r>
              <w:rPr>
                <w:noProof/>
                <w:webHidden/>
              </w:rPr>
              <w:fldChar w:fldCharType="end"/>
            </w:r>
          </w:hyperlink>
        </w:p>
        <w:p w14:paraId="13082BA1" w14:textId="62665488" w:rsidR="00EE7834" w:rsidRDefault="00EE7834">
          <w:pPr>
            <w:pStyle w:val="TOC2"/>
            <w:tabs>
              <w:tab w:val="right" w:leader="dot" w:pos="9350"/>
            </w:tabs>
            <w:rPr>
              <w:noProof/>
              <w:kern w:val="2"/>
              <w:lang w:eastAsia="en-US"/>
              <w14:ligatures w14:val="standardContextual"/>
            </w:rPr>
          </w:pPr>
          <w:hyperlink w:anchor="_Toc236121106" w:history="1">
            <w:r w:rsidRPr="004C3E49">
              <w:rPr>
                <w:rStyle w:val="Hyperlink"/>
                <w:rFonts w:eastAsia="Aptos"/>
                <w:noProof/>
              </w:rPr>
              <w:t>Appendix</w:t>
            </w:r>
            <w:r>
              <w:rPr>
                <w:noProof/>
                <w:webHidden/>
              </w:rPr>
              <w:tab/>
            </w:r>
            <w:r>
              <w:rPr>
                <w:noProof/>
                <w:webHidden/>
              </w:rPr>
              <w:fldChar w:fldCharType="begin"/>
            </w:r>
            <w:r>
              <w:rPr>
                <w:noProof/>
                <w:webHidden/>
              </w:rPr>
              <w:instrText xml:space="preserve"> PAGEREF _Toc236121106 \h </w:instrText>
            </w:r>
            <w:r>
              <w:rPr>
                <w:noProof/>
                <w:webHidden/>
              </w:rPr>
            </w:r>
            <w:r>
              <w:rPr>
                <w:noProof/>
                <w:webHidden/>
              </w:rPr>
              <w:fldChar w:fldCharType="separate"/>
            </w:r>
            <w:r>
              <w:rPr>
                <w:noProof/>
                <w:webHidden/>
              </w:rPr>
              <w:t>14</w:t>
            </w:r>
            <w:r>
              <w:rPr>
                <w:noProof/>
                <w:webHidden/>
              </w:rPr>
              <w:fldChar w:fldCharType="end"/>
            </w:r>
          </w:hyperlink>
        </w:p>
        <w:p w14:paraId="37C0AF9C" w14:textId="46E712BC" w:rsidR="00D2002F" w:rsidRPr="006F7E79" w:rsidRDefault="00D2002F">
          <w:pPr>
            <w:rPr>
              <w:sz w:val="18"/>
              <w:szCs w:val="18"/>
            </w:rPr>
          </w:pPr>
          <w:r w:rsidRPr="006F7E79">
            <w:rPr>
              <w:b/>
              <w:bCs/>
              <w:noProof/>
              <w:sz w:val="16"/>
              <w:szCs w:val="16"/>
            </w:rPr>
            <w:fldChar w:fldCharType="end"/>
          </w:r>
        </w:p>
      </w:sdtContent>
    </w:sdt>
    <w:p w14:paraId="69D06312" w14:textId="7A7599EE" w:rsidR="00EE7834" w:rsidRDefault="00EE7834">
      <w:pPr>
        <w:rPr>
          <w:rFonts w:asciiTheme="majorHAnsi" w:eastAsia="Aptos" w:hAnsiTheme="majorHAnsi" w:cstheme="majorBidi"/>
          <w:color w:val="0F4761" w:themeColor="accent1" w:themeShade="BF"/>
          <w:sz w:val="28"/>
          <w:szCs w:val="28"/>
        </w:rPr>
      </w:pPr>
      <w:bookmarkStart w:id="2" w:name="_Toc236121077"/>
      <w:r>
        <w:rPr>
          <w:rFonts w:eastAsia="Aptos"/>
          <w:sz w:val="28"/>
          <w:szCs w:val="28"/>
        </w:rPr>
        <w:br w:type="page"/>
      </w:r>
    </w:p>
    <w:p w14:paraId="15F669C1" w14:textId="06BB102B" w:rsidR="005718F4" w:rsidRPr="006C49A3" w:rsidRDefault="3E60AAF6" w:rsidP="00065443">
      <w:pPr>
        <w:pStyle w:val="Heading2"/>
        <w:rPr>
          <w:rFonts w:eastAsia="Aptos"/>
          <w:sz w:val="28"/>
          <w:szCs w:val="28"/>
        </w:rPr>
      </w:pPr>
      <w:r w:rsidRPr="006C49A3">
        <w:rPr>
          <w:rFonts w:eastAsia="Aptos"/>
          <w:sz w:val="28"/>
          <w:szCs w:val="28"/>
        </w:rPr>
        <w:lastRenderedPageBreak/>
        <w:t>Exec</w:t>
      </w:r>
      <w:r w:rsidR="002C6DEB" w:rsidRPr="006C49A3">
        <w:rPr>
          <w:rFonts w:eastAsia="Aptos"/>
          <w:sz w:val="28"/>
          <w:szCs w:val="28"/>
        </w:rPr>
        <w:t>utive</w:t>
      </w:r>
      <w:r w:rsidRPr="006C49A3">
        <w:rPr>
          <w:rFonts w:eastAsia="Aptos"/>
          <w:sz w:val="28"/>
          <w:szCs w:val="28"/>
        </w:rPr>
        <w:t xml:space="preserve"> Summary</w:t>
      </w:r>
      <w:bookmarkEnd w:id="2"/>
    </w:p>
    <w:p w14:paraId="2AF11554" w14:textId="0AE159A9" w:rsidR="004C33EF" w:rsidRPr="004C33EF" w:rsidRDefault="004C33EF" w:rsidP="004C33EF">
      <w:r w:rsidRPr="004C33EF">
        <w:t xml:space="preserve">The MSDI Elevation Theme Plan outlines Montana’s strategy for improving </w:t>
      </w:r>
      <w:proofErr w:type="gramStart"/>
      <w:r w:rsidRPr="004C33EF">
        <w:t>statewide elevation</w:t>
      </w:r>
      <w:proofErr w:type="gramEnd"/>
      <w:r w:rsidRPr="004C33EF">
        <w:t xml:space="preserve"> data </w:t>
      </w:r>
      <w:r w:rsidR="00991E82">
        <w:t>quality</w:t>
      </w:r>
      <w:r w:rsidRPr="004C33EF">
        <w:t>. Building on the 2022 GIS Coordination Strategic Plan, the Montana State Library (MSL) evaluated current lidar</w:t>
      </w:r>
      <w:r w:rsidRPr="004C33EF">
        <w:rPr>
          <w:rFonts w:ascii="Cambria Math" w:hAnsi="Cambria Math" w:cs="Cambria Math"/>
        </w:rPr>
        <w:t>‑</w:t>
      </w:r>
      <w:r w:rsidRPr="004C33EF">
        <w:t>derived elevation datasets using eight data</w:t>
      </w:r>
      <w:r w:rsidRPr="004C33EF">
        <w:rPr>
          <w:rFonts w:ascii="Cambria Math" w:hAnsi="Cambria Math" w:cs="Cambria Math"/>
        </w:rPr>
        <w:t>‑</w:t>
      </w:r>
      <w:r w:rsidRPr="004C33EF">
        <w:t>quality measures</w:t>
      </w:r>
      <w:r w:rsidRPr="004C33EF">
        <w:rPr>
          <w:rFonts w:ascii="Aptos" w:hAnsi="Aptos" w:cs="Aptos"/>
        </w:rPr>
        <w:t>—</w:t>
      </w:r>
      <w:r w:rsidRPr="004C33EF">
        <w:t xml:space="preserve">accuracy, precision, completeness, consistency, timeliness, update and archive frequency, integrity, and relevance. </w:t>
      </w:r>
    </w:p>
    <w:p w14:paraId="7DCC08BC" w14:textId="3E74DBF9" w:rsidR="004C33EF" w:rsidRPr="004C33EF" w:rsidRDefault="004C33EF" w:rsidP="004C33EF">
      <w:r w:rsidRPr="004C33EF">
        <w:t>The plan identifies twelve goals for the next 3–5 years. These include completing statewide</w:t>
      </w:r>
      <w:r>
        <w:t>, baseline</w:t>
      </w:r>
      <w:r w:rsidRPr="004C33EF">
        <w:t xml:space="preserve"> USGS</w:t>
      </w:r>
      <w:r w:rsidRPr="004C33EF">
        <w:rPr>
          <w:rFonts w:ascii="Cambria Math" w:hAnsi="Cambria Math" w:cs="Cambria Math"/>
        </w:rPr>
        <w:t>‑</w:t>
      </w:r>
      <w:r w:rsidRPr="004C33EF">
        <w:t>specification</w:t>
      </w:r>
      <w:r>
        <w:t xml:space="preserve"> (QL</w:t>
      </w:r>
      <w:r w:rsidR="004A355D">
        <w:t xml:space="preserve"> 2</w:t>
      </w:r>
      <w:r>
        <w:t>)</w:t>
      </w:r>
      <w:r w:rsidRPr="004C33EF">
        <w:t xml:space="preserve"> lidar; stabilizing and expanding public elevation web services; increasing self</w:t>
      </w:r>
      <w:r w:rsidRPr="004C33EF">
        <w:rPr>
          <w:rFonts w:ascii="Cambria Math" w:hAnsi="Cambria Math" w:cs="Cambria Math"/>
        </w:rPr>
        <w:t>‑</w:t>
      </w:r>
      <w:r w:rsidRPr="004C33EF">
        <w:t xml:space="preserve">service data access; improving documentation and metadata; coordinating elevation and hydrography workflows; </w:t>
      </w:r>
      <w:r w:rsidR="004A355D">
        <w:t>collaborating to include</w:t>
      </w:r>
      <w:r w:rsidRPr="004C33EF">
        <w:t xml:space="preserve"> state</w:t>
      </w:r>
      <w:r w:rsidRPr="004C33EF">
        <w:rPr>
          <w:rFonts w:ascii="Cambria Math" w:hAnsi="Cambria Math" w:cs="Cambria Math"/>
        </w:rPr>
        <w:t>‑</w:t>
      </w:r>
      <w:r w:rsidRPr="004C33EF">
        <w:t xml:space="preserve">acquired lidar in </w:t>
      </w:r>
      <w:r>
        <w:t>the USGS National Map</w:t>
      </w:r>
      <w:r w:rsidRPr="004C33EF">
        <w:t>; and better supporting tribal priorities. Future</w:t>
      </w:r>
      <w:r w:rsidRPr="004C33EF">
        <w:rPr>
          <w:rFonts w:ascii="Cambria Math" w:hAnsi="Cambria Math" w:cs="Cambria Math"/>
        </w:rPr>
        <w:t>‑</w:t>
      </w:r>
      <w:r w:rsidRPr="004C33EF">
        <w:t>focused goals emphasize transitioning toward higher</w:t>
      </w:r>
      <w:r w:rsidRPr="004C33EF">
        <w:rPr>
          <w:rFonts w:ascii="Cambria Math" w:hAnsi="Cambria Math" w:cs="Cambria Math"/>
        </w:rPr>
        <w:t>‑</w:t>
      </w:r>
      <w:r w:rsidRPr="004C33EF">
        <w:t xml:space="preserve">density QL1 lidar, developing refresh strategies for statewide elevation datasets, </w:t>
      </w:r>
      <w:r>
        <w:t>and supporting</w:t>
      </w:r>
      <w:r w:rsidRPr="004C33EF">
        <w:t xml:space="preserve"> business need</w:t>
      </w:r>
      <w:r>
        <w:t>s for elevation data.</w:t>
      </w:r>
    </w:p>
    <w:p w14:paraId="523FB8CC" w14:textId="176B5883" w:rsidR="004C33EF" w:rsidRDefault="004C33EF" w:rsidP="004C33EF">
      <w:r w:rsidRPr="004C33EF">
        <w:t>Overall, the plan provides a structur</w:t>
      </w:r>
      <w:r w:rsidR="004A355D">
        <w:t>e</w:t>
      </w:r>
      <w:r w:rsidRPr="004C33EF">
        <w:t xml:space="preserve"> for improving data quality, enhancing service reliability, supporting partners, and guiding long</w:t>
      </w:r>
      <w:r w:rsidRPr="004C33EF">
        <w:rPr>
          <w:rFonts w:ascii="Cambria Math" w:hAnsi="Cambria Math" w:cs="Cambria Math"/>
        </w:rPr>
        <w:t>‑</w:t>
      </w:r>
      <w:r w:rsidRPr="004C33EF">
        <w:t>term lidar acquisition in Montana</w:t>
      </w:r>
      <w:r>
        <w:t>.</w:t>
      </w:r>
    </w:p>
    <w:p w14:paraId="5238AC29" w14:textId="727D76B3" w:rsidR="005718F4" w:rsidRPr="004C33EF" w:rsidRDefault="3E60AAF6" w:rsidP="004C33EF">
      <w:pPr>
        <w:pStyle w:val="Heading2"/>
        <w:rPr>
          <w:sz w:val="28"/>
          <w:szCs w:val="28"/>
        </w:rPr>
      </w:pPr>
      <w:bookmarkStart w:id="3" w:name="_Toc236121078"/>
      <w:r w:rsidRPr="004C33EF">
        <w:rPr>
          <w:sz w:val="28"/>
          <w:szCs w:val="28"/>
        </w:rPr>
        <w:t xml:space="preserve">Theme Definition </w:t>
      </w:r>
      <w:r w:rsidR="00C54692" w:rsidRPr="004C33EF">
        <w:rPr>
          <w:sz w:val="28"/>
          <w:szCs w:val="28"/>
        </w:rPr>
        <w:t>and</w:t>
      </w:r>
      <w:r w:rsidRPr="004C33EF">
        <w:rPr>
          <w:sz w:val="28"/>
          <w:szCs w:val="28"/>
        </w:rPr>
        <w:t xml:space="preserve"> Description</w:t>
      </w:r>
      <w:bookmarkEnd w:id="3"/>
    </w:p>
    <w:p w14:paraId="1AAAD81D" w14:textId="59058D6E" w:rsidR="00C54692" w:rsidRPr="00340F89" w:rsidRDefault="00550586" w:rsidP="002C6DEB">
      <w:pPr>
        <w:spacing w:line="259" w:lineRule="auto"/>
        <w:rPr>
          <w:rFonts w:eastAsia="Aptos" w:cs="Aptos"/>
          <w:color w:val="000000" w:themeColor="text1"/>
        </w:rPr>
      </w:pPr>
      <w:r w:rsidRPr="00340F89">
        <w:rPr>
          <w:rFonts w:eastAsia="Aptos" w:cs="Aptos"/>
          <w:color w:val="000000" w:themeColor="text1"/>
        </w:rPr>
        <w:t>MSDI Elevation is defined as a digital representation of vertical positions on the Earth's surface relative to a standardized reference datum</w:t>
      </w:r>
      <w:r w:rsidR="00EF2FE0" w:rsidRPr="00340F89">
        <w:rPr>
          <w:rFonts w:eastAsia="Aptos" w:cs="Aptos"/>
          <w:color w:val="000000" w:themeColor="text1"/>
        </w:rPr>
        <w:t xml:space="preserve"> (</w:t>
      </w:r>
      <w:proofErr w:type="spellStart"/>
      <w:r w:rsidR="00EF2FE0" w:rsidRPr="00340F89">
        <w:rPr>
          <w:rFonts w:eastAsia="Aptos" w:cs="Aptos"/>
          <w:color w:val="000000" w:themeColor="text1"/>
        </w:rPr>
        <w:t>e.g</w:t>
      </w:r>
      <w:proofErr w:type="spellEnd"/>
      <w:r w:rsidR="00EF2FE0" w:rsidRPr="00340F89">
        <w:rPr>
          <w:rFonts w:eastAsia="Aptos" w:cs="Aptos"/>
          <w:color w:val="000000" w:themeColor="text1"/>
        </w:rPr>
        <w:t>, height</w:t>
      </w:r>
      <w:r w:rsidR="00065269" w:rsidRPr="00340F89">
        <w:rPr>
          <w:rFonts w:eastAsia="Aptos" w:cs="Aptos"/>
          <w:color w:val="000000" w:themeColor="text1"/>
        </w:rPr>
        <w:t>s</w:t>
      </w:r>
      <w:r w:rsidR="00EF2FE0" w:rsidRPr="00340F89">
        <w:rPr>
          <w:rFonts w:eastAsia="Aptos" w:cs="Aptos"/>
          <w:color w:val="000000" w:themeColor="text1"/>
        </w:rPr>
        <w:t>, or elevation, above the surface)</w:t>
      </w:r>
      <w:r w:rsidRPr="00340F89">
        <w:rPr>
          <w:rFonts w:eastAsia="Aptos" w:cs="Aptos"/>
          <w:color w:val="000000" w:themeColor="text1"/>
        </w:rPr>
        <w:t>. It is primarily modeled as a continuous surface</w:t>
      </w:r>
      <w:r w:rsidR="00065269" w:rsidRPr="00340F89">
        <w:rPr>
          <w:rFonts w:eastAsia="Aptos" w:cs="Aptos"/>
          <w:color w:val="000000" w:themeColor="text1"/>
        </w:rPr>
        <w:t xml:space="preserve"> </w:t>
      </w:r>
      <w:r w:rsidR="00EF2FE0" w:rsidRPr="00340F89">
        <w:rPr>
          <w:rFonts w:eastAsia="Aptos" w:cs="Aptos"/>
          <w:color w:val="000000" w:themeColor="text1"/>
        </w:rPr>
        <w:t>raster</w:t>
      </w:r>
      <w:r w:rsidRPr="00340F89">
        <w:rPr>
          <w:rFonts w:eastAsia="Aptos" w:cs="Aptos"/>
          <w:color w:val="000000" w:themeColor="text1"/>
        </w:rPr>
        <w:t xml:space="preserve"> through Digital Elevation Models (DEMs).  Modern MSDI Elevation data is collected and derived through aerial LiDAR (Light Detection and Ranging)</w:t>
      </w:r>
      <w:r w:rsidR="00065269" w:rsidRPr="00340F89">
        <w:rPr>
          <w:rFonts w:eastAsia="Aptos" w:cs="Aptos"/>
          <w:color w:val="000000" w:themeColor="text1"/>
        </w:rPr>
        <w:t>.  “Elevation” and “lidar”</w:t>
      </w:r>
      <w:r w:rsidR="00EF2FE0" w:rsidRPr="00340F89">
        <w:rPr>
          <w:rFonts w:eastAsia="Aptos" w:cs="Aptos"/>
          <w:color w:val="000000" w:themeColor="text1"/>
        </w:rPr>
        <w:t xml:space="preserve"> are often </w:t>
      </w:r>
      <w:r w:rsidR="00065269" w:rsidRPr="00340F89">
        <w:rPr>
          <w:rFonts w:eastAsia="Aptos" w:cs="Aptos"/>
          <w:color w:val="000000" w:themeColor="text1"/>
        </w:rPr>
        <w:t xml:space="preserve">casually </w:t>
      </w:r>
      <w:r w:rsidR="00EF2FE0" w:rsidRPr="00340F89">
        <w:rPr>
          <w:rFonts w:eastAsia="Aptos" w:cs="Aptos"/>
          <w:color w:val="000000" w:themeColor="text1"/>
        </w:rPr>
        <w:t>used interchangeably</w:t>
      </w:r>
      <w:r w:rsidR="003572B7">
        <w:rPr>
          <w:rFonts w:eastAsia="Aptos" w:cs="Aptos"/>
          <w:color w:val="000000" w:themeColor="text1"/>
        </w:rPr>
        <w:t xml:space="preserve"> (including within this document)</w:t>
      </w:r>
      <w:r w:rsidR="00065269" w:rsidRPr="00340F89">
        <w:rPr>
          <w:rFonts w:eastAsia="Aptos" w:cs="Aptos"/>
          <w:color w:val="000000" w:themeColor="text1"/>
        </w:rPr>
        <w:t xml:space="preserve">, </w:t>
      </w:r>
      <w:r w:rsidR="00EF2FE0" w:rsidRPr="00340F89">
        <w:rPr>
          <w:rFonts w:eastAsia="Aptos" w:cs="Aptos"/>
          <w:color w:val="000000" w:themeColor="text1"/>
        </w:rPr>
        <w:t xml:space="preserve">though there is </w:t>
      </w:r>
      <w:r w:rsidR="00065269" w:rsidRPr="00340F89">
        <w:rPr>
          <w:rFonts w:eastAsia="Aptos" w:cs="Aptos"/>
          <w:color w:val="000000" w:themeColor="text1"/>
        </w:rPr>
        <w:t xml:space="preserve">a </w:t>
      </w:r>
      <w:r w:rsidR="00EF2FE0" w:rsidRPr="00340F89">
        <w:rPr>
          <w:rFonts w:eastAsia="Aptos" w:cs="Aptos"/>
          <w:color w:val="000000" w:themeColor="text1"/>
        </w:rPr>
        <w:t xml:space="preserve">difference:  lidar is </w:t>
      </w:r>
      <w:r w:rsidR="008A0400">
        <w:rPr>
          <w:rFonts w:eastAsia="Aptos" w:cs="Aptos"/>
          <w:color w:val="000000" w:themeColor="text1"/>
        </w:rPr>
        <w:t>a</w:t>
      </w:r>
      <w:r w:rsidR="00EF2FE0" w:rsidRPr="00340F89">
        <w:rPr>
          <w:rFonts w:eastAsia="Aptos" w:cs="Aptos"/>
          <w:color w:val="000000" w:themeColor="text1"/>
        </w:rPr>
        <w:t xml:space="preserve"> technology used to collect high-resolution, high-accuracy elevation data.   Montana is nearing statewide lidar coverage, at which </w:t>
      </w:r>
      <w:r w:rsidR="005627E6">
        <w:rPr>
          <w:rFonts w:eastAsia="Aptos" w:cs="Aptos"/>
          <w:color w:val="000000" w:themeColor="text1"/>
        </w:rPr>
        <w:t>time</w:t>
      </w:r>
      <w:r w:rsidR="00EF2FE0" w:rsidRPr="00340F89">
        <w:rPr>
          <w:rFonts w:eastAsia="Aptos" w:cs="Aptos"/>
          <w:color w:val="000000" w:themeColor="text1"/>
        </w:rPr>
        <w:t>, MSDI Elevation will</w:t>
      </w:r>
      <w:r w:rsidR="005627E6">
        <w:rPr>
          <w:rFonts w:eastAsia="Aptos" w:cs="Aptos"/>
          <w:color w:val="000000" w:themeColor="text1"/>
        </w:rPr>
        <w:t xml:space="preserve"> consist of five core</w:t>
      </w:r>
      <w:r w:rsidR="008A0400">
        <w:rPr>
          <w:rFonts w:eastAsia="Aptos" w:cs="Aptos"/>
          <w:color w:val="000000" w:themeColor="text1"/>
        </w:rPr>
        <w:t xml:space="preserve">, lidar-derived </w:t>
      </w:r>
      <w:r w:rsidR="005627E6">
        <w:rPr>
          <w:rFonts w:eastAsia="Aptos" w:cs="Aptos"/>
          <w:color w:val="000000" w:themeColor="text1"/>
        </w:rPr>
        <w:t>raster products a</w:t>
      </w:r>
      <w:r w:rsidR="00EF2FE0" w:rsidRPr="00340F89">
        <w:rPr>
          <w:rFonts w:eastAsia="Aptos" w:cs="Aptos"/>
          <w:color w:val="000000" w:themeColor="text1"/>
        </w:rPr>
        <w:t>t 1-meter spatial resolutio</w:t>
      </w:r>
      <w:r w:rsidR="008A0400">
        <w:rPr>
          <w:rFonts w:eastAsia="Aptos" w:cs="Aptos"/>
          <w:color w:val="000000" w:themeColor="text1"/>
        </w:rPr>
        <w:t>n</w:t>
      </w:r>
    </w:p>
    <w:p w14:paraId="035306C5" w14:textId="36761F4A" w:rsidR="00C17C80" w:rsidRPr="00340F89" w:rsidRDefault="00E63902" w:rsidP="00065443">
      <w:pPr>
        <w:pStyle w:val="Heading3"/>
        <w:rPr>
          <w:rFonts w:asciiTheme="minorHAnsi" w:eastAsia="Aptos" w:hAnsiTheme="minorHAnsi"/>
        </w:rPr>
      </w:pPr>
      <w:bookmarkStart w:id="4" w:name="_Toc236121079"/>
      <w:r w:rsidRPr="00340F89">
        <w:rPr>
          <w:rFonts w:asciiTheme="minorHAnsi" w:eastAsia="Aptos" w:hAnsiTheme="minorHAnsi"/>
        </w:rPr>
        <w:t xml:space="preserve">Core </w:t>
      </w:r>
      <w:r w:rsidR="00065269" w:rsidRPr="00340F89">
        <w:rPr>
          <w:rFonts w:asciiTheme="minorHAnsi" w:eastAsia="Aptos" w:hAnsiTheme="minorHAnsi"/>
        </w:rPr>
        <w:t>Products</w:t>
      </w:r>
      <w:bookmarkEnd w:id="4"/>
    </w:p>
    <w:tbl>
      <w:tblPr>
        <w:tblStyle w:val="TableGrid"/>
        <w:tblW w:w="0" w:type="auto"/>
        <w:tblLook w:val="04A0" w:firstRow="1" w:lastRow="0" w:firstColumn="1" w:lastColumn="0" w:noHBand="0" w:noVBand="1"/>
      </w:tblPr>
      <w:tblGrid>
        <w:gridCol w:w="8815"/>
      </w:tblGrid>
      <w:tr w:rsidR="00065269" w:rsidRPr="00340F89" w14:paraId="0F9EFC6B"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8F8F3D" w14:textId="25D4DA00" w:rsidR="00065269" w:rsidRPr="003872DA" w:rsidRDefault="00065269" w:rsidP="00BF50C3">
            <w:pPr>
              <w:pStyle w:val="ListParagraph"/>
              <w:numPr>
                <w:ilvl w:val="0"/>
                <w:numId w:val="2"/>
              </w:numPr>
              <w:rPr>
                <w:b/>
                <w:bCs/>
              </w:rPr>
            </w:pPr>
            <w:r w:rsidRPr="003872DA">
              <w:rPr>
                <w:b/>
                <w:bCs/>
              </w:rPr>
              <w:t xml:space="preserve">Digital Terrain Model </w:t>
            </w:r>
            <w:r w:rsidR="00603AF8" w:rsidRPr="003872DA">
              <w:rPr>
                <w:b/>
                <w:bCs/>
              </w:rPr>
              <w:t>(aka bare-earth Digital Elevation Model)</w:t>
            </w:r>
            <w:r w:rsidR="003872DA">
              <w:rPr>
                <w:b/>
                <w:bCs/>
              </w:rPr>
              <w:t xml:space="preserve"> -</w:t>
            </w:r>
          </w:p>
          <w:p w14:paraId="5259343B" w14:textId="77777777" w:rsidR="003872DA" w:rsidRDefault="003872DA" w:rsidP="003872DA">
            <w:pPr>
              <w:pStyle w:val="ListParagraph"/>
            </w:pPr>
            <w:r w:rsidRPr="003872DA">
              <w:t>a representation of the bare</w:t>
            </w:r>
            <w:r w:rsidRPr="003872DA">
              <w:rPr>
                <w:rFonts w:ascii="Cambria Math" w:hAnsi="Cambria Math" w:cs="Cambria Math"/>
              </w:rPr>
              <w:t>‑</w:t>
            </w:r>
            <w:r w:rsidRPr="003872DA">
              <w:t>earth surface that captures elevation values without vegetation, buildings, or other structures</w:t>
            </w:r>
          </w:p>
          <w:p w14:paraId="433561A0" w14:textId="42803EFB" w:rsidR="00065269" w:rsidRPr="003872DA" w:rsidRDefault="00065269" w:rsidP="003872DA">
            <w:pPr>
              <w:pStyle w:val="ListParagraph"/>
              <w:numPr>
                <w:ilvl w:val="0"/>
                <w:numId w:val="2"/>
              </w:numPr>
              <w:rPr>
                <w:b/>
                <w:bCs/>
              </w:rPr>
            </w:pPr>
            <w:r w:rsidRPr="003872DA">
              <w:rPr>
                <w:b/>
                <w:bCs/>
              </w:rPr>
              <w:t>Digital Surface Model</w:t>
            </w:r>
            <w:r w:rsidR="00603AF8" w:rsidRPr="003872DA">
              <w:rPr>
                <w:b/>
                <w:bCs/>
              </w:rPr>
              <w:t xml:space="preserve"> (DSM)</w:t>
            </w:r>
            <w:r w:rsidR="003872DA">
              <w:rPr>
                <w:b/>
                <w:bCs/>
              </w:rPr>
              <w:t xml:space="preserve"> -</w:t>
            </w:r>
          </w:p>
          <w:p w14:paraId="24BDC393" w14:textId="11A511A2" w:rsidR="000842B6" w:rsidRPr="00340F89" w:rsidRDefault="003872DA" w:rsidP="000842B6">
            <w:pPr>
              <w:pStyle w:val="ListParagraph"/>
            </w:pPr>
            <w:r w:rsidRPr="003872DA">
              <w:t xml:space="preserve">represents elevations of the Earth’s surface </w:t>
            </w:r>
            <w:r w:rsidR="008A0400">
              <w:t>including</w:t>
            </w:r>
            <w:r w:rsidRPr="003872DA">
              <w:t xml:space="preserve"> vegetation, buildings, and other above</w:t>
            </w:r>
            <w:r w:rsidRPr="003872DA">
              <w:rPr>
                <w:rFonts w:ascii="Cambria Math" w:hAnsi="Cambria Math" w:cs="Cambria Math"/>
              </w:rPr>
              <w:t>‑</w:t>
            </w:r>
            <w:r w:rsidRPr="003872DA">
              <w:t>ground features.</w:t>
            </w:r>
          </w:p>
        </w:tc>
      </w:tr>
      <w:tr w:rsidR="00065269" w:rsidRPr="00340F89" w14:paraId="42AA078F"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A96AD2" w14:textId="1E2ADBE2" w:rsidR="00065269" w:rsidRPr="003872DA" w:rsidRDefault="00065269" w:rsidP="00BF50C3">
            <w:pPr>
              <w:pStyle w:val="ListParagraph"/>
              <w:numPr>
                <w:ilvl w:val="0"/>
                <w:numId w:val="2"/>
              </w:numPr>
              <w:rPr>
                <w:b/>
                <w:bCs/>
              </w:rPr>
            </w:pPr>
            <w:proofErr w:type="spellStart"/>
            <w:r w:rsidRPr="003872DA">
              <w:rPr>
                <w:b/>
                <w:bCs/>
              </w:rPr>
              <w:t>Hillshade</w:t>
            </w:r>
            <w:proofErr w:type="spellEnd"/>
            <w:r w:rsidRPr="003872DA">
              <w:rPr>
                <w:b/>
                <w:bCs/>
              </w:rPr>
              <w:t xml:space="preserve"> </w:t>
            </w:r>
            <w:r w:rsidR="00603AF8" w:rsidRPr="003872DA">
              <w:rPr>
                <w:b/>
                <w:bCs/>
              </w:rPr>
              <w:t>M</w:t>
            </w:r>
            <w:r w:rsidRPr="003872DA">
              <w:rPr>
                <w:b/>
                <w:bCs/>
              </w:rPr>
              <w:t>odel</w:t>
            </w:r>
            <w:r w:rsidR="003872DA">
              <w:rPr>
                <w:b/>
                <w:bCs/>
              </w:rPr>
              <w:t xml:space="preserve"> -</w:t>
            </w:r>
          </w:p>
          <w:p w14:paraId="6146578E" w14:textId="14163BD3" w:rsidR="000842B6" w:rsidRPr="00340F89" w:rsidRDefault="003872DA" w:rsidP="000842B6">
            <w:pPr>
              <w:pStyle w:val="ListParagraph"/>
            </w:pPr>
            <w:r w:rsidRPr="003872DA">
              <w:t>grayscale visualization of terrain created by simulating illumination across a Digital Elevation Model to highlight landform shape and relief</w:t>
            </w:r>
          </w:p>
        </w:tc>
      </w:tr>
      <w:tr w:rsidR="00065269" w:rsidRPr="00340F89" w14:paraId="37235968"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5DCA2E" w14:textId="79B60482" w:rsidR="000842B6" w:rsidRPr="001E215F" w:rsidRDefault="00065269" w:rsidP="000842B6">
            <w:pPr>
              <w:pStyle w:val="ListParagraph"/>
              <w:numPr>
                <w:ilvl w:val="0"/>
                <w:numId w:val="2"/>
              </w:numPr>
              <w:rPr>
                <w:b/>
                <w:bCs/>
              </w:rPr>
            </w:pPr>
            <w:r w:rsidRPr="001E215F">
              <w:rPr>
                <w:b/>
                <w:bCs/>
              </w:rPr>
              <w:t>Canopy Height Model</w:t>
            </w:r>
            <w:r w:rsidR="001E215F">
              <w:rPr>
                <w:b/>
                <w:bCs/>
              </w:rPr>
              <w:t xml:space="preserve"> -</w:t>
            </w:r>
          </w:p>
          <w:p w14:paraId="0FF0C681" w14:textId="794DDF86" w:rsidR="000842B6" w:rsidRPr="00340F89" w:rsidRDefault="001E215F" w:rsidP="000842B6">
            <w:pPr>
              <w:pStyle w:val="ListParagraph"/>
            </w:pPr>
            <w:r w:rsidRPr="001E215F">
              <w:lastRenderedPageBreak/>
              <w:t xml:space="preserve">represents the height of </w:t>
            </w:r>
            <w:r>
              <w:t>vegetation, buildings, and other features</w:t>
            </w:r>
            <w:r w:rsidRPr="001E215F">
              <w:t xml:space="preserve"> by subtracting the bare</w:t>
            </w:r>
            <w:r w:rsidRPr="001E215F">
              <w:rPr>
                <w:rFonts w:ascii="Cambria Math" w:hAnsi="Cambria Math" w:cs="Cambria Math"/>
              </w:rPr>
              <w:t>‑</w:t>
            </w:r>
            <w:r w:rsidRPr="001E215F">
              <w:t>earth terrain (DTM) from the surface elevations (DSM).</w:t>
            </w:r>
          </w:p>
        </w:tc>
      </w:tr>
      <w:tr w:rsidR="00065269" w:rsidRPr="00340F89" w14:paraId="27E4955C"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35B4B6" w14:textId="53CE071D" w:rsidR="000842B6" w:rsidRPr="001E215F" w:rsidRDefault="00065269" w:rsidP="000842B6">
            <w:pPr>
              <w:pStyle w:val="ListParagraph"/>
              <w:numPr>
                <w:ilvl w:val="0"/>
                <w:numId w:val="2"/>
              </w:numPr>
              <w:rPr>
                <w:b/>
                <w:bCs/>
              </w:rPr>
            </w:pPr>
            <w:r w:rsidRPr="001E215F">
              <w:rPr>
                <w:b/>
                <w:bCs/>
              </w:rPr>
              <w:lastRenderedPageBreak/>
              <w:t>Intensity</w:t>
            </w:r>
            <w:r w:rsidR="001E215F">
              <w:rPr>
                <w:b/>
                <w:bCs/>
              </w:rPr>
              <w:t xml:space="preserve"> -</w:t>
            </w:r>
          </w:p>
          <w:p w14:paraId="29635AE1" w14:textId="228B6F5A" w:rsidR="00603AF8" w:rsidRPr="00340F89" w:rsidRDefault="001E215F" w:rsidP="00603AF8">
            <w:pPr>
              <w:pStyle w:val="ListParagraph"/>
            </w:pPr>
            <w:r w:rsidRPr="001E215F">
              <w:t>refers to the strength of the returned laser signal</w:t>
            </w:r>
            <w:r>
              <w:t xml:space="preserve"> and looks </w:t>
            </w:r>
            <w:r w:rsidR="005627E6">
              <w:t>like</w:t>
            </w:r>
            <w:r>
              <w:t xml:space="preserve"> a black and white aerial image.</w:t>
            </w:r>
          </w:p>
          <w:p w14:paraId="6229C84A" w14:textId="691E4104" w:rsidR="00603AF8" w:rsidRPr="00340F89" w:rsidRDefault="00603AF8" w:rsidP="00603AF8">
            <w:r w:rsidRPr="00340F89">
              <w:t xml:space="preserve">All core products are </w:t>
            </w:r>
            <w:r w:rsidR="00340F89" w:rsidRPr="00340F89">
              <w:t>available statewide (anticipated completion</w:t>
            </w:r>
            <w:r w:rsidR="00A8116E">
              <w:t xml:space="preserve"> late</w:t>
            </w:r>
            <w:r w:rsidR="00340F89" w:rsidRPr="00340F89">
              <w:t xml:space="preserve"> 2026</w:t>
            </w:r>
            <w:r w:rsidR="00A8116E">
              <w:t>/early 2027</w:t>
            </w:r>
            <w:r w:rsidR="00340F89" w:rsidRPr="00340F89">
              <w:t xml:space="preserve">) at 1-meter spatial resolution in </w:t>
            </w:r>
            <w:proofErr w:type="spellStart"/>
            <w:r w:rsidR="00340F89" w:rsidRPr="00340F89">
              <w:t>GeoTiff</w:t>
            </w:r>
            <w:proofErr w:type="spellEnd"/>
            <w:r w:rsidR="00340F89" w:rsidRPr="00340F89">
              <w:t xml:space="preserve"> format. </w:t>
            </w:r>
          </w:p>
        </w:tc>
      </w:tr>
      <w:tr w:rsidR="000842B6" w:rsidRPr="00340F89" w14:paraId="1B427F75"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BA9DC0" w14:textId="77777777" w:rsidR="000842B6" w:rsidRPr="00340F89" w:rsidRDefault="000842B6" w:rsidP="00E00D2C">
            <w:pPr>
              <w:pStyle w:val="ListParagraph"/>
            </w:pPr>
          </w:p>
        </w:tc>
      </w:tr>
    </w:tbl>
    <w:p w14:paraId="3AB48FE3" w14:textId="77777777" w:rsidR="001F4F30" w:rsidRPr="001F4F30" w:rsidRDefault="001F4F30" w:rsidP="001F4F30"/>
    <w:p w14:paraId="4E28E1A7" w14:textId="039BA5CD" w:rsidR="00065443" w:rsidRPr="006C49A3" w:rsidRDefault="00340F89" w:rsidP="00065443">
      <w:pPr>
        <w:pStyle w:val="Heading2"/>
        <w:rPr>
          <w:rFonts w:eastAsia="Aptos"/>
          <w:sz w:val="28"/>
          <w:szCs w:val="28"/>
        </w:rPr>
      </w:pPr>
      <w:bookmarkStart w:id="5" w:name="_Toc236121080"/>
      <w:r>
        <w:rPr>
          <w:rFonts w:eastAsia="Aptos"/>
          <w:sz w:val="28"/>
          <w:szCs w:val="28"/>
        </w:rPr>
        <w:t>Elevation t</w:t>
      </w:r>
      <w:r w:rsidR="3E60AAF6" w:rsidRPr="006C49A3">
        <w:rPr>
          <w:rFonts w:eastAsia="Aptos"/>
          <w:sz w:val="28"/>
          <w:szCs w:val="28"/>
        </w:rPr>
        <w:t>heme Testimonials</w:t>
      </w:r>
      <w:bookmarkEnd w:id="5"/>
      <w:r w:rsidR="3E60AAF6" w:rsidRPr="006C49A3">
        <w:rPr>
          <w:rFonts w:eastAsia="Aptos"/>
          <w:sz w:val="28"/>
          <w:szCs w:val="28"/>
        </w:rPr>
        <w:t xml:space="preserve"> </w:t>
      </w:r>
    </w:p>
    <w:p w14:paraId="704E82F1" w14:textId="0180DE72" w:rsidR="00FA17E2" w:rsidRPr="00FA17E2" w:rsidRDefault="005627E6" w:rsidP="007A129A">
      <w:pPr>
        <w:shd w:val="clear" w:color="auto" w:fill="C7E088"/>
        <w:rPr>
          <w:rFonts w:eastAsia="Aptos"/>
          <w:b/>
          <w:bCs/>
          <w:i/>
          <w:iCs/>
        </w:rPr>
      </w:pPr>
      <w:r>
        <w:rPr>
          <w:rFonts w:eastAsia="Aptos"/>
          <w:b/>
          <w:bCs/>
          <w:i/>
          <w:iCs/>
        </w:rPr>
        <w:t>Montana Department of Transportation</w:t>
      </w:r>
    </w:p>
    <w:p w14:paraId="627B1E6E" w14:textId="3293BC8B" w:rsidR="005627E6" w:rsidRDefault="00783F11" w:rsidP="005627E6">
      <w:pPr>
        <w:jc w:val="right"/>
        <w:rPr>
          <w:rFonts w:eastAsia="Aptos"/>
          <w:i/>
          <w:iCs/>
          <w:sz w:val="22"/>
          <w:szCs w:val="22"/>
        </w:rPr>
      </w:pPr>
      <w:r>
        <w:rPr>
          <w:rFonts w:eastAsia="Aptos"/>
          <w:i/>
          <w:iCs/>
          <w:sz w:val="22"/>
          <w:szCs w:val="22"/>
        </w:rPr>
        <w:t>Name</w:t>
      </w:r>
      <w:r w:rsidR="005627E6">
        <w:rPr>
          <w:rFonts w:eastAsia="Aptos"/>
          <w:i/>
          <w:iCs/>
          <w:sz w:val="22"/>
          <w:szCs w:val="22"/>
        </w:rPr>
        <w:t xml:space="preserve">, </w:t>
      </w:r>
      <w:r>
        <w:rPr>
          <w:rFonts w:eastAsia="Aptos"/>
          <w:i/>
          <w:iCs/>
          <w:sz w:val="22"/>
          <w:szCs w:val="22"/>
        </w:rPr>
        <w:t>Agency</w:t>
      </w:r>
    </w:p>
    <w:p w14:paraId="776A5D1C" w14:textId="1A6827C1" w:rsidR="005627E6" w:rsidRDefault="00783F11" w:rsidP="005627E6">
      <w:pPr>
        <w:rPr>
          <w:rFonts w:eastAsia="Aptos"/>
          <w:i/>
          <w:iCs/>
          <w:sz w:val="22"/>
          <w:szCs w:val="22"/>
        </w:rPr>
      </w:pPr>
      <w:r>
        <w:rPr>
          <w:rFonts w:eastAsia="Aptos"/>
          <w:i/>
          <w:iCs/>
          <w:sz w:val="22"/>
          <w:szCs w:val="22"/>
        </w:rPr>
        <w:t>TO BE ADDED</w:t>
      </w:r>
    </w:p>
    <w:p w14:paraId="13D59391" w14:textId="77777777" w:rsidR="005627E6" w:rsidRPr="005627E6" w:rsidRDefault="005627E6" w:rsidP="005627E6">
      <w:pPr>
        <w:rPr>
          <w:rStyle w:val="SubtleEmphasis"/>
          <w:rFonts w:eastAsia="Aptos"/>
          <w:color w:val="auto"/>
          <w:sz w:val="22"/>
          <w:szCs w:val="22"/>
        </w:rPr>
      </w:pPr>
    </w:p>
    <w:p w14:paraId="21DC86F2" w14:textId="4F0D578F" w:rsidR="00FF7BF0" w:rsidRPr="00FF7BF0" w:rsidRDefault="005627E6" w:rsidP="00FF7BF0">
      <w:pPr>
        <w:shd w:val="clear" w:color="auto" w:fill="C7E088"/>
        <w:rPr>
          <w:rFonts w:asciiTheme="majorHAnsi" w:eastAsia="Aptos" w:hAnsiTheme="majorHAnsi" w:cstheme="majorBidi"/>
          <w:color w:val="0F4761" w:themeColor="accent1" w:themeShade="BF"/>
          <w:sz w:val="26"/>
          <w:szCs w:val="26"/>
        </w:rPr>
      </w:pPr>
      <w:r>
        <w:rPr>
          <w:rFonts w:eastAsia="Aptos"/>
          <w:b/>
          <w:bCs/>
          <w:i/>
          <w:iCs/>
        </w:rPr>
        <w:t>Summary of Lidar Data Use Survey</w:t>
      </w:r>
    </w:p>
    <w:p w14:paraId="2431AD69" w14:textId="0676D429" w:rsidR="00FF7BF0" w:rsidRPr="00FF7BF0" w:rsidRDefault="00783F11" w:rsidP="00FF7BF0">
      <w:pPr>
        <w:jc w:val="right"/>
        <w:rPr>
          <w:rFonts w:eastAsia="Aptos"/>
          <w:i/>
          <w:iCs/>
          <w:sz w:val="22"/>
          <w:szCs w:val="22"/>
        </w:rPr>
      </w:pPr>
      <w:r>
        <w:rPr>
          <w:rFonts w:eastAsia="Aptos"/>
          <w:i/>
          <w:iCs/>
          <w:sz w:val="22"/>
          <w:szCs w:val="22"/>
        </w:rPr>
        <w:t>Name, Agency</w:t>
      </w:r>
      <w:r w:rsidR="00DF0CFD">
        <w:rPr>
          <w:rFonts w:eastAsia="Aptos"/>
          <w:i/>
          <w:iCs/>
          <w:sz w:val="22"/>
          <w:szCs w:val="22"/>
        </w:rPr>
        <w:t xml:space="preserve"> </w:t>
      </w:r>
    </w:p>
    <w:p w14:paraId="77A2E3EF" w14:textId="632657B4" w:rsidR="00E9491F" w:rsidRPr="00D010AD" w:rsidRDefault="00783F11" w:rsidP="00043682">
      <w:pPr>
        <w:rPr>
          <w:rStyle w:val="SubtleEmphasis"/>
          <w:sz w:val="22"/>
          <w:szCs w:val="22"/>
        </w:rPr>
      </w:pPr>
      <w:r>
        <w:rPr>
          <w:rStyle w:val="SubtleEmphasis"/>
          <w:sz w:val="22"/>
          <w:szCs w:val="22"/>
        </w:rPr>
        <w:t>TO BE ADDED</w:t>
      </w:r>
    </w:p>
    <w:p w14:paraId="207A70F8" w14:textId="59CE9EF8" w:rsidR="0018290A" w:rsidRDefault="0018290A" w:rsidP="006A7353">
      <w:pPr>
        <w:pStyle w:val="Heading2"/>
        <w:rPr>
          <w:rFonts w:eastAsia="Aptos"/>
        </w:rPr>
      </w:pPr>
      <w:bookmarkStart w:id="6" w:name="_Toc236121081"/>
      <w:r w:rsidRPr="00D010AD">
        <w:rPr>
          <w:rFonts w:eastAsia="Aptos"/>
          <w:sz w:val="28"/>
          <w:szCs w:val="28"/>
        </w:rPr>
        <w:t>The Plan (3-5 years)</w:t>
      </w:r>
      <w:bookmarkEnd w:id="6"/>
    </w:p>
    <w:p w14:paraId="225BD274" w14:textId="77777777" w:rsidR="008A0400" w:rsidRDefault="00A3582C" w:rsidP="00516776">
      <w:r>
        <w:t>Through</w:t>
      </w:r>
      <w:r w:rsidR="004802A3">
        <w:t xml:space="preserve"> </w:t>
      </w:r>
      <w:r w:rsidR="00ED6DCF">
        <w:t>the Data Quality Assessment Matrix</w:t>
      </w:r>
      <w:r w:rsidR="0056657E">
        <w:t xml:space="preserve">, </w:t>
      </w:r>
      <w:r w:rsidR="00ED6DCF">
        <w:t>Data Improvement Plan</w:t>
      </w:r>
      <w:r w:rsidR="00E9270C">
        <w:t xml:space="preserve">, </w:t>
      </w:r>
      <w:r w:rsidR="00E50053">
        <w:t xml:space="preserve">holding MSDI </w:t>
      </w:r>
      <w:r w:rsidR="00516776">
        <w:t>Elevation Working Group</w:t>
      </w:r>
      <w:r w:rsidR="00E9270C">
        <w:t xml:space="preserve"> meetings, and </w:t>
      </w:r>
      <w:r w:rsidR="0056657E">
        <w:t>networki</w:t>
      </w:r>
      <w:r w:rsidR="00E9270C">
        <w:t xml:space="preserve">ng at the </w:t>
      </w:r>
      <w:r w:rsidR="00E50053">
        <w:t xml:space="preserve">Montana Association of Geographic Information Professionals (MAGIP) </w:t>
      </w:r>
      <w:r>
        <w:t xml:space="preserve">Big Sky </w:t>
      </w:r>
      <w:proofErr w:type="spellStart"/>
      <w:r>
        <w:t>GeoCon</w:t>
      </w:r>
      <w:proofErr w:type="spellEnd"/>
      <w:r>
        <w:t xml:space="preserve"> </w:t>
      </w:r>
      <w:r w:rsidR="005E3B86">
        <w:t>conference, near-term</w:t>
      </w:r>
      <w:r w:rsidR="0056657E">
        <w:t xml:space="preserve"> (3-5 year)</w:t>
      </w:r>
      <w:r w:rsidR="005E3B86">
        <w:t xml:space="preserve"> goals were identified. </w:t>
      </w:r>
      <w:r w:rsidR="0056657E">
        <w:t>Actions and p</w:t>
      </w:r>
      <w:r w:rsidR="00E50053">
        <w:t>rogres</w:t>
      </w:r>
      <w:r w:rsidR="0056657E">
        <w:t>s</w:t>
      </w:r>
      <w:r w:rsidR="00E50053">
        <w:t xml:space="preserve"> </w:t>
      </w:r>
      <w:r w:rsidR="0056657E">
        <w:t xml:space="preserve">are </w:t>
      </w:r>
      <w:r w:rsidR="00E50053">
        <w:t>quantified within the Data Improvement Plan</w:t>
      </w:r>
      <w:r w:rsidR="008A0400">
        <w:t xml:space="preserve"> (Appendix)</w:t>
      </w:r>
      <w:r w:rsidR="00E50053">
        <w:t xml:space="preserve"> and </w:t>
      </w:r>
      <w:r w:rsidR="008A0400">
        <w:t>informed</w:t>
      </w:r>
      <w:r w:rsidR="00E50053">
        <w:t xml:space="preserve"> through the Working Group.</w:t>
      </w:r>
      <w:r w:rsidR="00DF0CFD">
        <w:t xml:space="preserve">  </w:t>
      </w:r>
    </w:p>
    <w:p w14:paraId="068EB7AD" w14:textId="3BB1782B" w:rsidR="00B155AE" w:rsidRDefault="00516776" w:rsidP="00516776">
      <w:r>
        <w:t>G</w:t>
      </w:r>
      <w:r w:rsidR="001A3BB8">
        <w:t xml:space="preserve">oals are </w:t>
      </w:r>
      <w:r w:rsidR="00DF0CFD">
        <w:t>summarized below in</w:t>
      </w:r>
      <w:r w:rsidR="001A3BB8">
        <w:t xml:space="preserve"> no order of priority</w:t>
      </w:r>
      <w:r w:rsidR="00B155AE">
        <w:t>:</w:t>
      </w:r>
    </w:p>
    <w:p w14:paraId="567D2947" w14:textId="20AEE9AC" w:rsidR="00516776" w:rsidRDefault="006D7AAF" w:rsidP="007627A4">
      <w:pPr>
        <w:pStyle w:val="Heading2"/>
        <w:numPr>
          <w:ilvl w:val="0"/>
          <w:numId w:val="6"/>
        </w:numPr>
      </w:pPr>
      <w:bookmarkStart w:id="7" w:name="_Toc236121082"/>
      <w:r>
        <w:t>Complete b</w:t>
      </w:r>
      <w:r w:rsidR="00516776" w:rsidRPr="00516776">
        <w:t>aseline statewide lidar collection. USGS Lidar Base Specifications (QL2) are achieved statewide</w:t>
      </w:r>
      <w:r>
        <w:t>.</w:t>
      </w:r>
      <w:bookmarkEnd w:id="7"/>
    </w:p>
    <w:p w14:paraId="2BBC6DAC" w14:textId="4B812085" w:rsidR="00516776" w:rsidRDefault="0056657E" w:rsidP="007627A4">
      <w:pPr>
        <w:ind w:left="360"/>
      </w:pPr>
      <w:r>
        <w:t>Statewide lidar completion is currently</w:t>
      </w:r>
      <w:r w:rsidR="006D7AAF">
        <w:t xml:space="preserve"> at</w:t>
      </w:r>
      <w:r>
        <w:t xml:space="preserve"> approximately 90% (July 2026), with the remaining 10% in-progress </w:t>
      </w:r>
      <w:r w:rsidR="006D7AAF">
        <w:t xml:space="preserve">with the USGS </w:t>
      </w:r>
      <w:r>
        <w:t xml:space="preserve">and expected to be </w:t>
      </w:r>
      <w:r w:rsidR="006D7AAF">
        <w:t>available</w:t>
      </w:r>
      <w:r w:rsidR="00EA3B63">
        <w:t xml:space="preserve"> </w:t>
      </w:r>
      <w:r>
        <w:t>by late 2026</w:t>
      </w:r>
      <w:r w:rsidR="00EA3B63">
        <w:t>/early 2027</w:t>
      </w:r>
      <w:r>
        <w:t xml:space="preserve">.  The vast majority of lidar collected in Montana meets </w:t>
      </w:r>
      <w:r w:rsidR="006D7AAF">
        <w:t>USGS Quality Level 2 specifications (</w:t>
      </w:r>
      <w:r w:rsidR="00674531">
        <w:t xml:space="preserve">minimum of </w:t>
      </w:r>
      <w:r w:rsidR="006D7AAF">
        <w:t>2 p</w:t>
      </w:r>
      <w:r w:rsidR="00674531">
        <w:t>oints per square meter</w:t>
      </w:r>
      <w:r w:rsidR="006D7AAF">
        <w:t>)</w:t>
      </w:r>
      <w:r w:rsidR="00674531">
        <w:t xml:space="preserve"> representing baseline</w:t>
      </w:r>
      <w:r w:rsidR="006D7AAF">
        <w:t>, with some lidar collected at Quality Level 1 (</w:t>
      </w:r>
      <w:r w:rsidR="00674531">
        <w:t xml:space="preserve">minimum of </w:t>
      </w:r>
      <w:r w:rsidR="006D7AAF">
        <w:t xml:space="preserve">8 </w:t>
      </w:r>
      <w:proofErr w:type="spellStart"/>
      <w:r w:rsidR="006D7AAF">
        <w:t>ppsm</w:t>
      </w:r>
      <w:proofErr w:type="spellEnd"/>
      <w:r w:rsidR="006D7AAF">
        <w:t>).  MSDI Elevation</w:t>
      </w:r>
      <w:r w:rsidR="008316FA">
        <w:t xml:space="preserve"> core</w:t>
      </w:r>
      <w:r w:rsidR="006D7AAF">
        <w:t xml:space="preserve"> products will be</w:t>
      </w:r>
      <w:r w:rsidR="00DE4765">
        <w:t xml:space="preserve"> completed </w:t>
      </w:r>
      <w:r w:rsidR="008316FA">
        <w:t>statewide</w:t>
      </w:r>
      <w:r w:rsidR="006D7AAF">
        <w:t xml:space="preserve"> and made available online (viewable and downloadable) through the Montana Lidar Inventory</w:t>
      </w:r>
      <w:r w:rsidR="00EA3B63">
        <w:t xml:space="preserve"> and GIS web services.</w:t>
      </w:r>
      <w:r w:rsidR="00DE4765">
        <w:t xml:space="preserve"> Data</w:t>
      </w:r>
      <w:r w:rsidR="00674531">
        <w:t>sets</w:t>
      </w:r>
      <w:r w:rsidR="00DE4765">
        <w:t xml:space="preserve"> are currently organized and disseminated by project.  Seamless, best available </w:t>
      </w:r>
      <w:r w:rsidR="002D21E1">
        <w:t xml:space="preserve">(e.g., </w:t>
      </w:r>
      <w:r w:rsidR="002D21E1">
        <w:lastRenderedPageBreak/>
        <w:t xml:space="preserve">year and quality) </w:t>
      </w:r>
      <w:r w:rsidR="00DE4765">
        <w:t xml:space="preserve">services </w:t>
      </w:r>
      <w:r w:rsidR="002D21E1">
        <w:t>and user-specific area of interest</w:t>
      </w:r>
      <w:r w:rsidR="00DE4765">
        <w:t xml:space="preserve"> download options should be explored once statewide lidar is complete.</w:t>
      </w:r>
    </w:p>
    <w:p w14:paraId="217DA530" w14:textId="1281F04B" w:rsidR="002C0F3A" w:rsidRDefault="001B3A46" w:rsidP="007627A4">
      <w:pPr>
        <w:pStyle w:val="Heading2"/>
        <w:numPr>
          <w:ilvl w:val="0"/>
          <w:numId w:val="6"/>
        </w:numPr>
      </w:pPr>
      <w:bookmarkStart w:id="8" w:name="_Toc236121083"/>
      <w:r>
        <w:t>Elevation</w:t>
      </w:r>
      <w:r w:rsidR="003C713D" w:rsidRPr="003C713D">
        <w:t xml:space="preserve"> web services are broadly available and stable for </w:t>
      </w:r>
      <w:r w:rsidR="003C713D">
        <w:t xml:space="preserve">public, </w:t>
      </w:r>
      <w:r w:rsidR="003C713D" w:rsidRPr="003C713D">
        <w:t>external use.</w:t>
      </w:r>
      <w:bookmarkEnd w:id="8"/>
      <w:r w:rsidR="00C54F84">
        <w:t xml:space="preserve"> </w:t>
      </w:r>
    </w:p>
    <w:p w14:paraId="5CF9FA49" w14:textId="1EA8A8A6" w:rsidR="003C713D" w:rsidRDefault="002D21E1" w:rsidP="007627A4">
      <w:pPr>
        <w:ind w:left="360"/>
      </w:pPr>
      <w:r>
        <w:t xml:space="preserve">Elevation web services are currently </w:t>
      </w:r>
      <w:r w:rsidR="001B3A46">
        <w:t xml:space="preserve">hosted on-premises and </w:t>
      </w:r>
      <w:r>
        <w:t>primarily intended</w:t>
      </w:r>
      <w:r w:rsidR="00921575">
        <w:t xml:space="preserve"> for internal use</w:t>
      </w:r>
      <w:r>
        <w:t xml:space="preserve"> to support the Montana Lidar Inventory.  Because the services are regularly modified and may be down for several hour</w:t>
      </w:r>
      <w:r w:rsidR="00921575">
        <w:t>s when new projects are added</w:t>
      </w:r>
      <w:r>
        <w:t>, they are not</w:t>
      </w:r>
      <w:r w:rsidR="001B3A46">
        <w:t xml:space="preserve"> widely</w:t>
      </w:r>
      <w:r>
        <w:t xml:space="preserve"> broadcast and </w:t>
      </w:r>
      <w:r w:rsidR="001B3A46">
        <w:t>made available</w:t>
      </w:r>
      <w:r>
        <w:t xml:space="preserve">.  Agencies are </w:t>
      </w:r>
      <w:r w:rsidR="00921575">
        <w:t>discourage</w:t>
      </w:r>
      <w:r w:rsidR="008D09B5">
        <w:t>d</w:t>
      </w:r>
      <w:r w:rsidR="00921575">
        <w:t xml:space="preserve"> from adding </w:t>
      </w:r>
      <w:proofErr w:type="gramStart"/>
      <w:r w:rsidR="00921575">
        <w:t>the services</w:t>
      </w:r>
      <w:proofErr w:type="gramEnd"/>
      <w:r w:rsidR="00921575">
        <w:t xml:space="preserve"> to public applications</w:t>
      </w:r>
      <w:r w:rsidR="008D09B5">
        <w:t xml:space="preserve"> </w:t>
      </w:r>
      <w:r>
        <w:t>and</w:t>
      </w:r>
      <w:r w:rsidR="001B3A46">
        <w:t xml:space="preserve"> made</w:t>
      </w:r>
      <w:r>
        <w:t xml:space="preserve"> aware that </w:t>
      </w:r>
      <w:r w:rsidR="001B3A46">
        <w:t xml:space="preserve">outages and changes can happen without notice.  Once statewide lidar is </w:t>
      </w:r>
      <w:proofErr w:type="gramStart"/>
      <w:r w:rsidR="001B3A46">
        <w:t>complete</w:t>
      </w:r>
      <w:proofErr w:type="gramEnd"/>
      <w:r w:rsidR="001B3A46">
        <w:t xml:space="preserve">, the services </w:t>
      </w:r>
      <w:r w:rsidR="008D09B5">
        <w:t>will</w:t>
      </w:r>
      <w:r w:rsidR="001B3A46">
        <w:t xml:space="preserve"> be more stable, opening the door to broader, public use.  The Montana State Library is also transition</w:t>
      </w:r>
      <w:r w:rsidR="00921575">
        <w:t>ing</w:t>
      </w:r>
      <w:r w:rsidR="001B3A46">
        <w:t xml:space="preserve"> to a cloud-hosted GIS environment, which will make public elevation </w:t>
      </w:r>
      <w:r w:rsidR="00921575">
        <w:t>web services</w:t>
      </w:r>
      <w:r w:rsidR="001B3A46">
        <w:t xml:space="preserve"> more feasible</w:t>
      </w:r>
      <w:r w:rsidR="00921575">
        <w:t xml:space="preserve"> from a resource perspective</w:t>
      </w:r>
      <w:r w:rsidR="001B3A46">
        <w:t>.</w:t>
      </w:r>
    </w:p>
    <w:p w14:paraId="4777A612" w14:textId="77777777" w:rsidR="007627A4" w:rsidRDefault="003C713D">
      <w:pPr>
        <w:pStyle w:val="ListParagraph"/>
        <w:numPr>
          <w:ilvl w:val="0"/>
          <w:numId w:val="6"/>
        </w:numPr>
        <w:spacing w:line="240" w:lineRule="auto"/>
      </w:pPr>
      <w:bookmarkStart w:id="9" w:name="_Toc236121084"/>
      <w:r w:rsidRPr="003C713D">
        <w:rPr>
          <w:rStyle w:val="Heading2Char"/>
        </w:rPr>
        <w:t>Add missing or new</w:t>
      </w:r>
      <w:r w:rsidR="003572B7">
        <w:rPr>
          <w:rStyle w:val="Heading2Char"/>
        </w:rPr>
        <w:t xml:space="preserve"> airborne</w:t>
      </w:r>
      <w:r w:rsidRPr="003C713D">
        <w:rPr>
          <w:rStyle w:val="Heading2Char"/>
        </w:rPr>
        <w:t xml:space="preserve"> lidar projects and state</w:t>
      </w:r>
      <w:r w:rsidR="003572B7">
        <w:rPr>
          <w:rStyle w:val="Heading2Char"/>
        </w:rPr>
        <w:t xml:space="preserve"> </w:t>
      </w:r>
      <w:r w:rsidRPr="003C713D">
        <w:rPr>
          <w:rStyle w:val="Heading2Char"/>
        </w:rPr>
        <w:t>UAV lidar projects to the Montana Lidar Inventory.</w:t>
      </w:r>
      <w:bookmarkEnd w:id="9"/>
      <w:r w:rsidRPr="003C713D">
        <w:t xml:space="preserve"> </w:t>
      </w:r>
    </w:p>
    <w:p w14:paraId="6C516385" w14:textId="66AB7E01" w:rsidR="003C713D" w:rsidRDefault="003572B7" w:rsidP="007627A4">
      <w:pPr>
        <w:ind w:left="360"/>
      </w:pPr>
      <w:r>
        <w:t xml:space="preserve">The </w:t>
      </w:r>
      <w:r w:rsidR="00B23570">
        <w:t xml:space="preserve">Montana Lidar Inventory </w:t>
      </w:r>
      <w:r w:rsidR="008D09B5">
        <w:t>aims to be a</w:t>
      </w:r>
      <w:r w:rsidR="00B23570">
        <w:t xml:space="preserve"> comprehensive </w:t>
      </w:r>
      <w:r>
        <w:t xml:space="preserve">GIS database of </w:t>
      </w:r>
      <w:r w:rsidR="00B23570">
        <w:t xml:space="preserve">lidar </w:t>
      </w:r>
      <w:r>
        <w:t xml:space="preserve">collected </w:t>
      </w:r>
      <w:r w:rsidR="00B23570">
        <w:t xml:space="preserve">within the state.   </w:t>
      </w:r>
      <w:r>
        <w:t xml:space="preserve">While </w:t>
      </w:r>
      <w:r w:rsidR="008774B0">
        <w:t xml:space="preserve">capturing every </w:t>
      </w:r>
      <w:r>
        <w:t>lidar project may be</w:t>
      </w:r>
      <w:r w:rsidR="008774B0">
        <w:t xml:space="preserve"> out of reac</w:t>
      </w:r>
      <w:r>
        <w:t xml:space="preserve">h, an annual review should be completed to identify and add </w:t>
      </w:r>
      <w:r w:rsidR="008774B0">
        <w:t>missing and new</w:t>
      </w:r>
      <w:r>
        <w:t>/upcoming</w:t>
      </w:r>
      <w:r w:rsidR="008774B0">
        <w:t xml:space="preserve"> lidar project</w:t>
      </w:r>
      <w:r>
        <w:t>s</w:t>
      </w:r>
      <w:r w:rsidR="008774B0">
        <w:t xml:space="preserve">.   </w:t>
      </w:r>
      <w:r>
        <w:t xml:space="preserve">One source of lidar data that is currently not represented in the Montana Lidar Inventory is state-led UAV-based lidar collections, such as those conducted by the Montana Department of Natural Resources and Conservation (DNRC).  </w:t>
      </w:r>
      <w:r w:rsidR="008774B0">
        <w:t>T</w:t>
      </w:r>
      <w:r>
        <w:t xml:space="preserve">he Montana State Library does not necessarily have to store and serve all the data; however, at a minimum, there should be a feature class of project footprints (area of interest), basic metadata, and information about where to access the data, whether at MSL or elsewhere.  Additionally, annually, the Montana Lidar Inventory and the United States Interagency Elevation Inventory (USIEI) should </w:t>
      </w:r>
      <w:r w:rsidR="00BF6423">
        <w:t xml:space="preserve">be </w:t>
      </w:r>
      <w:r>
        <w:t xml:space="preserve">compared to ensure Montana projects are represented. </w:t>
      </w:r>
    </w:p>
    <w:p w14:paraId="4DE94D94" w14:textId="3F64EE07" w:rsidR="003C713D" w:rsidRDefault="003C713D" w:rsidP="007627A4">
      <w:pPr>
        <w:pStyle w:val="Heading2"/>
        <w:numPr>
          <w:ilvl w:val="0"/>
          <w:numId w:val="6"/>
        </w:numPr>
      </w:pPr>
      <w:bookmarkStart w:id="10" w:name="_Toc236121085"/>
      <w:r w:rsidRPr="003C713D">
        <w:t>Seek Tribal guidance on lidar data dissemination</w:t>
      </w:r>
      <w:r w:rsidR="003572B7">
        <w:t xml:space="preserve">.  </w:t>
      </w:r>
      <w:proofErr w:type="gramStart"/>
      <w:r w:rsidR="003572B7">
        <w:t>Offer assistance</w:t>
      </w:r>
      <w:proofErr w:type="gramEnd"/>
      <w:r w:rsidR="003572B7">
        <w:t xml:space="preserve"> while</w:t>
      </w:r>
      <w:r w:rsidRPr="003C713D">
        <w:t xml:space="preserve"> r</w:t>
      </w:r>
      <w:r w:rsidR="008774B0">
        <w:t>especting</w:t>
      </w:r>
      <w:r w:rsidRPr="003C713D">
        <w:t xml:space="preserve"> data sovereignty</w:t>
      </w:r>
      <w:bookmarkEnd w:id="10"/>
    </w:p>
    <w:p w14:paraId="0E13B1DD" w14:textId="172F78D8" w:rsidR="003C713D" w:rsidRDefault="003572B7" w:rsidP="007627A4">
      <w:pPr>
        <w:ind w:left="360"/>
      </w:pPr>
      <w:r>
        <w:t xml:space="preserve">Lidar acquired over Gros </w:t>
      </w:r>
      <w:proofErr w:type="spellStart"/>
      <w:r>
        <w:t>Ventre</w:t>
      </w:r>
      <w:proofErr w:type="spellEnd"/>
      <w:r>
        <w:t xml:space="preserve"> &amp; Assiniboine Tribes (Fort Belknap) and Assiniboine &amp; Sioux Tribes (Fort Peck Reservation) tribal lands are currently not available to most parties.  The USGS is restricted from sharing the data with non-federal partners.  The data are not disseminated through the Montana Lidar Inventory, and partners must go directly to the respective Tribe.  The path to requesting data is unclear, at times circular (USGS to Tribe to MSL back to Tribe), and may be unsuccessful.  Each tribe can make their decision about data sovereignty, and this should be respected.  Understanding tribal concerns about releasing lidar data, working with the state Office of Indian </w:t>
      </w:r>
      <w:r>
        <w:lastRenderedPageBreak/>
        <w:t>Affairs, exploring coarser resolution derived products, providing training about processing lidar data, and in-person, one-on-one assistance using lidar data within tribal lands are a few actions that can be taken to work toward this goal.</w:t>
      </w:r>
    </w:p>
    <w:p w14:paraId="07162076" w14:textId="41804069" w:rsidR="003C713D" w:rsidRDefault="00A852D1" w:rsidP="007627A4">
      <w:pPr>
        <w:pStyle w:val="Heading2"/>
        <w:numPr>
          <w:ilvl w:val="0"/>
          <w:numId w:val="6"/>
        </w:numPr>
      </w:pPr>
      <w:bookmarkStart w:id="11" w:name="_Toc236121086"/>
      <w:r>
        <w:t>Inc</w:t>
      </w:r>
      <w:r w:rsidR="003572B7">
        <w:t>rease self-help options for obtaining elevation</w:t>
      </w:r>
      <w:r w:rsidR="00E2045C">
        <w:t xml:space="preserve"> and </w:t>
      </w:r>
      <w:r w:rsidR="003572B7">
        <w:t>lidar</w:t>
      </w:r>
      <w:r w:rsidR="00E2045C">
        <w:t>-derived</w:t>
      </w:r>
      <w:r w:rsidR="003572B7">
        <w:t xml:space="preserve"> data through the Montana Lidar Inventory</w:t>
      </w:r>
      <w:bookmarkEnd w:id="11"/>
    </w:p>
    <w:p w14:paraId="0BD8C555" w14:textId="7009F0C7" w:rsidR="003C713D" w:rsidRDefault="003572B7" w:rsidP="007627A4">
      <w:pPr>
        <w:ind w:left="360"/>
      </w:pPr>
      <w:r>
        <w:t xml:space="preserve">The Montana State Library is at capacity regarding time and staffing allocated to handling requests for lidar data.  Approximately 15 requests (totaling ~30-50 GB of data transfer) are completed per month, accounting for </w:t>
      </w:r>
      <w:proofErr w:type="gramStart"/>
      <w:r>
        <w:t>the majority of</w:t>
      </w:r>
      <w:proofErr w:type="gramEnd"/>
      <w:r>
        <w:t xml:space="preserve"> GIS assistance requests handled by MSL.  Increasing self-help would decrease MSL workload in the long run, while increasing a user’s ability to get what they want, when they want it.  Actions to be taken include:  making additional data available online, such as lidar point cloud files (.LAZ), contours, and older projects; taking advantage of existing lidar data distribution sites, such as linking to the USGS National Map and </w:t>
      </w:r>
      <w:proofErr w:type="spellStart"/>
      <w:r>
        <w:t>OpenTopography</w:t>
      </w:r>
      <w:proofErr w:type="spellEnd"/>
      <w:r>
        <w:t xml:space="preserve">; and adding/improving online viewing and web service functionality so that users don’t need to download data, such as adding additional raster templates, improving mapmaking (print) capabilities, and exploring ArcGIS server-based geoprocessing (or FME </w:t>
      </w:r>
      <w:proofErr w:type="spellStart"/>
      <w:r>
        <w:t>worklows</w:t>
      </w:r>
      <w:proofErr w:type="spellEnd"/>
      <w:r>
        <w:t>) to reduce intermediate data needs and get the user to their desired final product faster. Reviewing the lidar data requests tracking database would reveal insights about changes that would deliver the biggest bang for the buck.</w:t>
      </w:r>
    </w:p>
    <w:p w14:paraId="194F1E2A" w14:textId="77777777" w:rsidR="007627A4" w:rsidRDefault="000402A0" w:rsidP="003C713D">
      <w:pPr>
        <w:pStyle w:val="ListParagraph"/>
        <w:numPr>
          <w:ilvl w:val="0"/>
          <w:numId w:val="6"/>
        </w:numPr>
        <w:rPr>
          <w:rFonts w:asciiTheme="majorHAnsi" w:eastAsiaTheme="majorEastAsia" w:hAnsiTheme="majorHAnsi" w:cstheme="majorBidi"/>
          <w:color w:val="0F4761" w:themeColor="accent1" w:themeShade="BF"/>
          <w:sz w:val="26"/>
          <w:szCs w:val="26"/>
        </w:rPr>
      </w:pPr>
      <w:r w:rsidRPr="007627A4">
        <w:rPr>
          <w:rFonts w:asciiTheme="majorHAnsi" w:eastAsiaTheme="majorEastAsia" w:hAnsiTheme="majorHAnsi" w:cstheme="majorBidi"/>
          <w:color w:val="0F4761" w:themeColor="accent1" w:themeShade="BF"/>
          <w:sz w:val="26"/>
          <w:szCs w:val="26"/>
        </w:rPr>
        <w:t>Assist state agencies and other entities with bringing lidar and elevation products into their business workflows.</w:t>
      </w:r>
    </w:p>
    <w:p w14:paraId="58D3E2F7" w14:textId="34B1852F" w:rsidR="003C713D" w:rsidRPr="007627A4" w:rsidRDefault="003572B7" w:rsidP="007627A4">
      <w:pPr>
        <w:pStyle w:val="ListParagraph"/>
        <w:ind w:left="360"/>
        <w:rPr>
          <w:rFonts w:asciiTheme="majorHAnsi" w:eastAsiaTheme="majorEastAsia" w:hAnsiTheme="majorHAnsi" w:cstheme="majorBidi"/>
          <w:color w:val="0F4761" w:themeColor="accent1" w:themeShade="BF"/>
          <w:sz w:val="26"/>
          <w:szCs w:val="26"/>
        </w:rPr>
      </w:pPr>
      <w:r>
        <w:t xml:space="preserve">Elevation Working Group members, state agencies, the USDA NRCS, and others have expressed a need for more educational materials and training, particularly regarding MSL’s lidar processing workflows.  MSL maintains internal processing documentation that could be modified for public distribution.  The Montana Lidar Inventory includes a help page, including short GIF videos, a lidar </w:t>
      </w:r>
      <w:proofErr w:type="gramStart"/>
      <w:r>
        <w:t>101 page</w:t>
      </w:r>
      <w:proofErr w:type="gramEnd"/>
      <w:r>
        <w:t>, example images, and a database of real-world data use cases.  This content should be reviewed and enhanced with an eye to Montana business workflows.</w:t>
      </w:r>
      <w:r w:rsidR="000402A0">
        <w:t xml:space="preserve">  Develop guidance, examples, and best practices that demonstrate how lidar can support applications, such as infrastructure planning, natural resource management, hazard mitigation, and transportation.  Expand adoption and integrate lidar-based products into routine business workflows and decision making.</w:t>
      </w:r>
    </w:p>
    <w:p w14:paraId="1F277C0F" w14:textId="77777777" w:rsidR="007627A4" w:rsidRDefault="003C713D" w:rsidP="003C713D">
      <w:pPr>
        <w:pStyle w:val="Heading2"/>
        <w:numPr>
          <w:ilvl w:val="0"/>
          <w:numId w:val="6"/>
        </w:numPr>
      </w:pPr>
      <w:bookmarkStart w:id="12" w:name="_Toc236121087"/>
      <w:r w:rsidRPr="003C713D">
        <w:t>State-led (DNRC - FEMA) lidar data are accepted by USGS and added to the National Map.</w:t>
      </w:r>
      <w:bookmarkEnd w:id="12"/>
    </w:p>
    <w:p w14:paraId="5BAB0319" w14:textId="6635205D" w:rsidR="003C713D" w:rsidRDefault="003572B7" w:rsidP="007627A4">
      <w:pPr>
        <w:ind w:left="360"/>
      </w:pPr>
      <w:r>
        <w:t xml:space="preserve">Lidar for Montana jumpstarted in 2018/2019 thanks to a FEMA grant to the Montana Department of Natural Resources and Conservation (DNRC) Floodplain Program.  </w:t>
      </w:r>
      <w:r>
        <w:lastRenderedPageBreak/>
        <w:t>While these efforts sought to acquire Ildar meeting FEMA and USGS specifications, the DNRC was the project manager.  The projects were not completed under the USGS 3D Elevation Program (more specifically, GPSC), like most of the latter lidar acquisitions in Montana.  In 2020-2022, the state-led projects were submitted to the USGS for inclusion in the National Map \\.  The USGS performed rigorous QC and corrections were requested.  Ongoing coordination between the Montana State Library, the DNRC, contractors, and the USGS is needed to reach the finish line.  The funding burden has been on the DNRC (</w:t>
      </w:r>
      <w:r w:rsidR="00072BEA">
        <w:t xml:space="preserve">through </w:t>
      </w:r>
      <w:r>
        <w:t>FEMA</w:t>
      </w:r>
      <w:r w:rsidR="00072BEA">
        <w:t xml:space="preserve"> grants</w:t>
      </w:r>
      <w:proofErr w:type="gramStart"/>
      <w:r>
        <w:t>)</w:t>
      </w:r>
      <w:proofErr w:type="gramEnd"/>
      <w:r>
        <w:t xml:space="preserve"> and additional assistance may be necessary.</w:t>
      </w:r>
    </w:p>
    <w:p w14:paraId="78FEA273" w14:textId="2C033725" w:rsidR="003C713D" w:rsidRDefault="003639CC" w:rsidP="007627A4">
      <w:pPr>
        <w:pStyle w:val="Heading2"/>
        <w:numPr>
          <w:ilvl w:val="0"/>
          <w:numId w:val="6"/>
        </w:numPr>
      </w:pPr>
      <w:bookmarkStart w:id="13" w:name="_Toc236121088"/>
      <w:r>
        <w:t>Compare the Montana Lidar Inventory to other lidar data distribution</w:t>
      </w:r>
      <w:r w:rsidR="00D64CBE">
        <w:t xml:space="preserve"> platforms</w:t>
      </w:r>
      <w:r>
        <w:t xml:space="preserve">, such as </w:t>
      </w:r>
      <w:proofErr w:type="gramStart"/>
      <w:r>
        <w:t>the  USGS</w:t>
      </w:r>
      <w:proofErr w:type="gramEnd"/>
      <w:r>
        <w:t xml:space="preserve"> National Map</w:t>
      </w:r>
      <w:bookmarkEnd w:id="13"/>
    </w:p>
    <w:p w14:paraId="6738F25E" w14:textId="389FF794" w:rsidR="00D64CBE" w:rsidRPr="00D64CBE" w:rsidRDefault="00D64CBE" w:rsidP="009149B1">
      <w:pPr>
        <w:ind w:left="360"/>
      </w:pPr>
      <w:r>
        <w:t>Compare the Montana Lidar Inventory with other data distribution platforms, including the USGS National Map, to identify areas of overlap, gaps, and opportunities for integration.  Ensure that the Montana Lidar inventory complements, rather than duplicates, existing distribution systems by leveraging each platform’s strengths.  This effort will support a coordinated approach to data management and delivery, providing users with efficient and reliable access to lidar and MSDI Elevation related geospatial datasets.</w:t>
      </w:r>
    </w:p>
    <w:p w14:paraId="56052928" w14:textId="0959D33D" w:rsidR="003C713D" w:rsidRDefault="00D14B01" w:rsidP="007627A4">
      <w:pPr>
        <w:pStyle w:val="Heading2"/>
        <w:numPr>
          <w:ilvl w:val="0"/>
          <w:numId w:val="6"/>
        </w:numPr>
      </w:pPr>
      <w:bookmarkStart w:id="14" w:name="_Toc236121089"/>
      <w:r w:rsidRPr="00D14B01">
        <w:t xml:space="preserve">Future lidar </w:t>
      </w:r>
      <w:r w:rsidR="003639CC">
        <w:t xml:space="preserve">for Montana is collected </w:t>
      </w:r>
      <w:r w:rsidRPr="00D14B01">
        <w:t>at QL1 (8 points per sq. m)</w:t>
      </w:r>
      <w:bookmarkEnd w:id="14"/>
    </w:p>
    <w:p w14:paraId="6A495E4B" w14:textId="6F5C1B7B" w:rsidR="00D14B01" w:rsidRPr="00D14B01" w:rsidRDefault="007627A4" w:rsidP="007627A4">
      <w:pPr>
        <w:ind w:left="360"/>
      </w:pPr>
      <w:r>
        <w:t>The</w:t>
      </w:r>
      <w:r w:rsidR="00BD2699">
        <w:t xml:space="preserve"> Montana</w:t>
      </w:r>
      <w:r>
        <w:t xml:space="preserve"> Elevation Working Group and Lidar Data Use Survey have </w:t>
      </w:r>
      <w:r w:rsidR="000C4B13">
        <w:t>documented</w:t>
      </w:r>
      <w:r>
        <w:t xml:space="preserve"> a wide variety of lidar data use applications.  </w:t>
      </w:r>
      <w:r w:rsidR="000C4B13">
        <w:t xml:space="preserve">Not </w:t>
      </w:r>
      <w:proofErr w:type="gramStart"/>
      <w:r w:rsidR="000C4B13">
        <w:t>all of</w:t>
      </w:r>
      <w:proofErr w:type="gramEnd"/>
      <w:r w:rsidR="000C4B13">
        <w:t xml:space="preserve"> these uses are satisfied by </w:t>
      </w:r>
      <w:r w:rsidR="007B4346">
        <w:t xml:space="preserve">the current standard of </w:t>
      </w:r>
      <w:r w:rsidR="000C4B13">
        <w:t>quality level 2 lidar (2 p</w:t>
      </w:r>
      <w:r w:rsidR="00BD2699">
        <w:t>oints per meter square)</w:t>
      </w:r>
      <w:r w:rsidR="000C4B13">
        <w:t xml:space="preserve">.  For example, vegetation characterization and feature edge detection benefit from </w:t>
      </w:r>
      <w:r w:rsidR="00BD2699">
        <w:t xml:space="preserve">the </w:t>
      </w:r>
      <w:r w:rsidR="000C4B13">
        <w:t xml:space="preserve">higher density lidar point cloud provided by Quality Level 1 (8 </w:t>
      </w:r>
      <w:proofErr w:type="spellStart"/>
      <w:r w:rsidR="000C4B13">
        <w:t>ppsm</w:t>
      </w:r>
      <w:proofErr w:type="spellEnd"/>
      <w:r w:rsidR="000C4B13">
        <w:t>).  Current</w:t>
      </w:r>
      <w:r w:rsidR="00BD2699">
        <w:t xml:space="preserve"> quality level </w:t>
      </w:r>
      <w:r w:rsidR="000C4B13">
        <w:t>2 lidar is baseline</w:t>
      </w:r>
      <w:r w:rsidR="00BD2699">
        <w:t xml:space="preserve"> elevation data.  Future lidar projects should incorporate QL1 specifications into standards</w:t>
      </w:r>
      <w:r w:rsidR="007B4346">
        <w:t xml:space="preserve"> and funding requests</w:t>
      </w:r>
      <w:r w:rsidR="00BD2699">
        <w:t>.  Investing in higher quality elevation datasets will serve a broader range of applications.</w:t>
      </w:r>
    </w:p>
    <w:p w14:paraId="0925392B" w14:textId="77777777" w:rsidR="007627A4" w:rsidRDefault="006D3C2B" w:rsidP="00D14B01">
      <w:pPr>
        <w:pStyle w:val="Heading2"/>
        <w:numPr>
          <w:ilvl w:val="0"/>
          <w:numId w:val="6"/>
        </w:numPr>
      </w:pPr>
      <w:bookmarkStart w:id="15" w:name="_Toc236121090"/>
      <w:r>
        <w:t xml:space="preserve">Devise a general strategy </w:t>
      </w:r>
      <w:r w:rsidR="00D14B01" w:rsidRPr="00D14B01">
        <w:t xml:space="preserve">to complete statewide </w:t>
      </w:r>
      <w:r>
        <w:t xml:space="preserve">lidar </w:t>
      </w:r>
      <w:r w:rsidR="00D14B01" w:rsidRPr="00D14B01">
        <w:t>coverage every 5 to 8 years, with</w:t>
      </w:r>
      <w:r w:rsidR="00D14B01">
        <w:t xml:space="preserve"> areas of frequent change captured more often</w:t>
      </w:r>
      <w:bookmarkEnd w:id="15"/>
    </w:p>
    <w:p w14:paraId="74E3F9F3" w14:textId="5D6A4040" w:rsidR="00D14B01" w:rsidRPr="00D14B01" w:rsidRDefault="006D3C2B" w:rsidP="007627A4">
      <w:pPr>
        <w:ind w:left="360"/>
      </w:pPr>
      <w:r>
        <w:t xml:space="preserve">Develop and maintain a statewide lidar acquisition schedule </w:t>
      </w:r>
      <w:r w:rsidR="00275531">
        <w:t xml:space="preserve">and/or </w:t>
      </w:r>
      <w:r>
        <w:t>maps that prioritize areas based on landscape change, development activity, natural hazards, and stakeholder needs.  Coordinate with federal, state, local an</w:t>
      </w:r>
      <w:r w:rsidR="00275531">
        <w:t>d</w:t>
      </w:r>
      <w:r>
        <w:t xml:space="preserve"> tribal partners to identify funding opportunities and align acquisition efforts to maximize coverage and reduce costs.  Establish criteria for determining update frequen</w:t>
      </w:r>
      <w:r w:rsidR="008943A6">
        <w:t>cy.  R</w:t>
      </w:r>
      <w:r>
        <w:t>apidly changing areas</w:t>
      </w:r>
      <w:r w:rsidR="008943A6">
        <w:t xml:space="preserve">, </w:t>
      </w:r>
      <w:r>
        <w:t>such as flood</w:t>
      </w:r>
      <w:r w:rsidR="00275531">
        <w:t>-prone areas</w:t>
      </w:r>
      <w:r w:rsidR="008943A6">
        <w:t>,</w:t>
      </w:r>
      <w:r>
        <w:t xml:space="preserve"> </w:t>
      </w:r>
      <w:r w:rsidR="008943A6">
        <w:t>may need to be</w:t>
      </w:r>
      <w:r>
        <w:t xml:space="preserve"> captured more often while stable regions</w:t>
      </w:r>
      <w:r w:rsidR="008943A6">
        <w:t xml:space="preserve">, </w:t>
      </w:r>
      <w:r>
        <w:t>such as upland areas with l</w:t>
      </w:r>
      <w:r w:rsidR="00275531">
        <w:t>imi</w:t>
      </w:r>
      <w:r>
        <w:t>t</w:t>
      </w:r>
      <w:r w:rsidR="00275531">
        <w:t>ed growth and</w:t>
      </w:r>
      <w:r>
        <w:t xml:space="preserve"> development</w:t>
      </w:r>
      <w:r w:rsidR="008943A6">
        <w:t>,</w:t>
      </w:r>
      <w:r>
        <w:t xml:space="preserve"> </w:t>
      </w:r>
      <w:r w:rsidR="007B4346">
        <w:t>may</w:t>
      </w:r>
      <w:r w:rsidR="008943A6">
        <w:t xml:space="preserve"> be </w:t>
      </w:r>
      <w:r>
        <w:t xml:space="preserve">evaluated for </w:t>
      </w:r>
      <w:r w:rsidR="00275531">
        <w:t xml:space="preserve">a </w:t>
      </w:r>
      <w:r>
        <w:lastRenderedPageBreak/>
        <w:t xml:space="preserve">longer refresh cycle.  Regularly review </w:t>
      </w:r>
      <w:r w:rsidR="008943A6">
        <w:t xml:space="preserve">lidar </w:t>
      </w:r>
      <w:r>
        <w:t xml:space="preserve">data coverage, quality, and emerging </w:t>
      </w:r>
      <w:r w:rsidR="00275531">
        <w:t>requirements.  Adapt</w:t>
      </w:r>
      <w:r>
        <w:t xml:space="preserve"> the acquisition strateg</w:t>
      </w:r>
      <w:r w:rsidR="00275531">
        <w:t>y accordingly</w:t>
      </w:r>
      <w:r>
        <w:t>.</w:t>
      </w:r>
    </w:p>
    <w:p w14:paraId="193886DE" w14:textId="287E76B4" w:rsidR="00D14B01" w:rsidRDefault="007627A4" w:rsidP="007627A4">
      <w:pPr>
        <w:pStyle w:val="Heading2"/>
        <w:numPr>
          <w:ilvl w:val="0"/>
          <w:numId w:val="6"/>
        </w:numPr>
      </w:pPr>
      <w:r>
        <w:t xml:space="preserve"> </w:t>
      </w:r>
      <w:bookmarkStart w:id="16" w:name="_Toc236121091"/>
      <w:r w:rsidR="00D14B01" w:rsidRPr="00D14B01">
        <w:t xml:space="preserve">Users are informed of variable </w:t>
      </w:r>
      <w:r w:rsidR="008943A6" w:rsidRPr="00D14B01">
        <w:t>accuracy,</w:t>
      </w:r>
      <w:r w:rsidR="00275531">
        <w:t xml:space="preserve"> d</w:t>
      </w:r>
      <w:r w:rsidR="00D14B01" w:rsidRPr="00D14B01">
        <w:t>ata limitations</w:t>
      </w:r>
      <w:r w:rsidR="001632E8">
        <w:t>, and acquisitions dates</w:t>
      </w:r>
      <w:r w:rsidR="00D14B01" w:rsidRPr="00D14B01">
        <w:t>.</w:t>
      </w:r>
      <w:bookmarkEnd w:id="16"/>
    </w:p>
    <w:p w14:paraId="319B5FE1" w14:textId="543CAFEF" w:rsidR="00A852D1" w:rsidRDefault="001632E8" w:rsidP="007627A4">
      <w:pPr>
        <w:ind w:left="360"/>
      </w:pPr>
      <w:r>
        <w:t>Provide clear metadata, documentation, and guidance that describe acquisition dates, point density, vertical and horizontal accuracy, classification quality, and known data/product gaps.  This information is currently maintained at a per project level and will become increasingly important as statewide products are completed.  Users should be able to explore metadata and data limitations for any area of interest</w:t>
      </w:r>
      <w:r w:rsidR="008A0400">
        <w:t xml:space="preserve">, such as </w:t>
      </w:r>
      <w:r>
        <w:t xml:space="preserve">a vector feature class of acquisition dates per tile. </w:t>
      </w:r>
      <w:r w:rsidR="008A3C87">
        <w:t>U</w:t>
      </w:r>
      <w:r w:rsidR="00200FFC" w:rsidRPr="00200FFC">
        <w:t>sers need additional guidance understanding accuracy</w:t>
      </w:r>
      <w:r w:rsidR="004C495A">
        <w:t xml:space="preserve"> variability and</w:t>
      </w:r>
      <w:r w:rsidR="00200FFC" w:rsidRPr="00200FFC">
        <w:t xml:space="preserve"> limitations, proper use of contours, and mismatches between elevation derived products and imagery, all of which require ongoing documentation, clear metadata, and outreach.</w:t>
      </w:r>
    </w:p>
    <w:p w14:paraId="02DB19B2" w14:textId="146329FF" w:rsidR="000C760E" w:rsidRDefault="000C760E" w:rsidP="007627A4">
      <w:pPr>
        <w:pStyle w:val="Heading2"/>
        <w:numPr>
          <w:ilvl w:val="0"/>
          <w:numId w:val="6"/>
        </w:numPr>
      </w:pPr>
      <w:bookmarkStart w:id="17" w:name="_Toc236121092"/>
      <w:r>
        <w:t xml:space="preserve">Ensure hydrography and </w:t>
      </w:r>
      <w:r w:rsidR="00C623AE">
        <w:t>e</w:t>
      </w:r>
      <w:r>
        <w:t>levation (lidar) planning, acquisition, and delivery are coordinated [This is a shared goal with the MSDI Hydrography Theme Plan]</w:t>
      </w:r>
      <w:bookmarkEnd w:id="17"/>
    </w:p>
    <w:p w14:paraId="2DFF6664" w14:textId="48AB92DC" w:rsidR="00D14B01" w:rsidRDefault="000C760E" w:rsidP="007627A4">
      <w:pPr>
        <w:ind w:left="360"/>
      </w:pPr>
      <w:r>
        <w:t xml:space="preserve">Identify steps that can be taken to better align lidar acquisitions and hydrography data development.  Plan for hydrography data development to happen close to when new lidar acquisitions are completed so that the two datasets are consistent and in-sync (similar vintage).  Ensure lidar acquisitions comply with Elevation-Derived Hydrography (EDH) Specifications used by 3DHP for extracting hydrographic features.  Assemble a cross-functional team of elevation and hydrography stakeholders, such as continuing to hold joint hydrography and elevation working groups.  Set unified goals, objectives, and AOIs reflecting both elevation and hydrography priorities.  Identify funding strategies and champions to secure and align resources. Continue to participate in the 3D Hydrography/Elevation Program </w:t>
      </w:r>
      <w:proofErr w:type="gramStart"/>
      <w:r>
        <w:t>For</w:t>
      </w:r>
      <w:proofErr w:type="gramEnd"/>
      <w:r>
        <w:t xml:space="preserve"> the Nation (3DHP and 3DEP FTN) community and monthly info forums to share concerns and lessons learned.</w:t>
      </w:r>
    </w:p>
    <w:p w14:paraId="7C83C244" w14:textId="77777777" w:rsidR="00CA321D" w:rsidRPr="00CA321D" w:rsidRDefault="00CA321D" w:rsidP="00CA321D"/>
    <w:p w14:paraId="5BC61705" w14:textId="144C9B0F" w:rsidR="006A7353" w:rsidRPr="006C49A3" w:rsidRDefault="006A7353" w:rsidP="006A7353">
      <w:pPr>
        <w:pStyle w:val="Heading2"/>
        <w:rPr>
          <w:sz w:val="28"/>
          <w:szCs w:val="28"/>
        </w:rPr>
      </w:pPr>
      <w:bookmarkStart w:id="18" w:name="_Toc236121093"/>
      <w:r w:rsidRPr="1932BDEA">
        <w:rPr>
          <w:sz w:val="28"/>
          <w:szCs w:val="28"/>
        </w:rPr>
        <w:t>Data Quality Measures</w:t>
      </w:r>
      <w:bookmarkEnd w:id="18"/>
    </w:p>
    <w:p w14:paraId="792566BD" w14:textId="656215ED" w:rsidR="006A7353" w:rsidRPr="006A7353" w:rsidRDefault="004C1593" w:rsidP="006A7353">
      <w:r>
        <w:t>MSDI Elevation was</w:t>
      </w:r>
      <w:r w:rsidR="00027989">
        <w:t xml:space="preserve"> assessed using the following data quality measures.</w:t>
      </w:r>
      <w:r>
        <w:t xml:space="preserve">  </w:t>
      </w:r>
      <w:r w:rsidR="00B35782">
        <w:t xml:space="preserve">Because data quality directly affects usefulness, improving the quality improves the value of the data. </w:t>
      </w:r>
    </w:p>
    <w:p w14:paraId="0812A2FD" w14:textId="33269D00" w:rsidR="005718F4" w:rsidRDefault="3E60AAF6" w:rsidP="00065443">
      <w:pPr>
        <w:pStyle w:val="Heading3"/>
        <w:rPr>
          <w:rFonts w:eastAsia="Aptos"/>
        </w:rPr>
      </w:pPr>
      <w:bookmarkStart w:id="19" w:name="_Toc236121094"/>
      <w:r w:rsidRPr="004920C7">
        <w:rPr>
          <w:rFonts w:eastAsia="Aptos"/>
        </w:rPr>
        <w:t xml:space="preserve">Spatial Accuracy </w:t>
      </w:r>
      <w:r w:rsidR="00F455E9">
        <w:rPr>
          <w:rFonts w:eastAsia="Aptos"/>
        </w:rPr>
        <w:t>and</w:t>
      </w:r>
      <w:r w:rsidRPr="004920C7">
        <w:rPr>
          <w:rFonts w:eastAsia="Aptos"/>
        </w:rPr>
        <w:t xml:space="preserve"> Precision</w:t>
      </w:r>
      <w:bookmarkEnd w:id="19"/>
    </w:p>
    <w:p w14:paraId="5792481B" w14:textId="3B2F0707" w:rsidR="005248D2" w:rsidRDefault="00B52233" w:rsidP="005248D2">
      <w:r>
        <w:t xml:space="preserve">Precision refers to how data values are stored and expressed. Spatial Accuracy </w:t>
      </w:r>
      <w:r w:rsidR="00371ED9">
        <w:t>describes</w:t>
      </w:r>
      <w:r w:rsidR="00F413EA">
        <w:t xml:space="preserve"> if data values correctly represent the </w:t>
      </w:r>
      <w:r w:rsidR="006945FA">
        <w:t>observed phenomenon which is subject to usage needs and measurement technologies.</w:t>
      </w:r>
    </w:p>
    <w:p w14:paraId="39F1B3F0" w14:textId="637935A6" w:rsidR="00611486" w:rsidRDefault="00611486" w:rsidP="005248D2">
      <w:r w:rsidRPr="00611486">
        <w:lastRenderedPageBreak/>
        <w:t>Accuracy</w:t>
      </w:r>
      <w:r>
        <w:t xml:space="preserve"> of Digital Elevation Models derived from lidar</w:t>
      </w:r>
      <w:r w:rsidRPr="00611486">
        <w:t xml:space="preserve"> is 4-6" vertical accuracy in </w:t>
      </w:r>
      <w:proofErr w:type="spellStart"/>
      <w:r w:rsidRPr="00611486">
        <w:t>nonvegetated</w:t>
      </w:r>
      <w:proofErr w:type="spellEnd"/>
      <w:r w:rsidRPr="00611486">
        <w:t xml:space="preserve"> areas</w:t>
      </w:r>
      <w:r>
        <w:t xml:space="preserve"> and a</w:t>
      </w:r>
      <w:r w:rsidRPr="00611486">
        <w:t>pprox</w:t>
      </w:r>
      <w:r>
        <w:t>imately</w:t>
      </w:r>
      <w:r w:rsidRPr="00611486">
        <w:t xml:space="preserve"> 8-10" vertical accuracy in vegetated </w:t>
      </w:r>
      <w:proofErr w:type="gramStart"/>
      <w:r w:rsidRPr="00611486">
        <w:t>area</w:t>
      </w:r>
      <w:r>
        <w:t xml:space="preserve">s, </w:t>
      </w:r>
      <w:r w:rsidRPr="00611486">
        <w:t xml:space="preserve"> measured</w:t>
      </w:r>
      <w:proofErr w:type="gramEnd"/>
      <w:r w:rsidRPr="00611486">
        <w:t xml:space="preserve"> </w:t>
      </w:r>
      <w:r>
        <w:t>at</w:t>
      </w:r>
      <w:r w:rsidRPr="00611486">
        <w:t xml:space="preserve"> a 95% confidence interval.</w:t>
      </w:r>
      <w:r>
        <w:t xml:space="preserve"> </w:t>
      </w:r>
      <w:r w:rsidRPr="00611486">
        <w:t>Lidar precision is measured as repeatability (</w:t>
      </w:r>
      <w:proofErr w:type="spellStart"/>
      <w:r w:rsidRPr="00611486">
        <w:t>i.e</w:t>
      </w:r>
      <w:proofErr w:type="spellEnd"/>
      <w:r w:rsidRPr="00611486">
        <w:t>, how similar are the measurements where flight paths overlap).  Relative vertical accuracy (repeatability) is 2.2 inches.</w:t>
      </w:r>
    </w:p>
    <w:p w14:paraId="4C7A60B1" w14:textId="22500C34" w:rsidR="00E3196D" w:rsidRDefault="00E3196D" w:rsidP="005248D2">
      <w:r>
        <w:t xml:space="preserve">Most lidar for Montana is currently Quality Level 2 (minimum 2 </w:t>
      </w:r>
      <w:proofErr w:type="spellStart"/>
      <w:r>
        <w:t>ppsm</w:t>
      </w:r>
      <w:proofErr w:type="spellEnd"/>
      <w:r>
        <w:t xml:space="preserve">), which is adequate for 1-meter Digital Elevation Models.  Ideal future lidar would be acquired to meet Quality Level 1 specifications (minimum 8 </w:t>
      </w:r>
      <w:proofErr w:type="spellStart"/>
      <w:r>
        <w:t>ppsm</w:t>
      </w:r>
      <w:proofErr w:type="spellEnd"/>
      <w:r>
        <w:t xml:space="preserve">), which is adequate for </w:t>
      </w:r>
      <w:proofErr w:type="gramStart"/>
      <w:r>
        <w:t>0.5 meter</w:t>
      </w:r>
      <w:proofErr w:type="gramEnd"/>
      <w:r>
        <w:t xml:space="preserve"> Digital Elevation Models.</w:t>
      </w:r>
    </w:p>
    <w:p w14:paraId="5C29BDA6" w14:textId="3A2C0936" w:rsidR="00C623AE" w:rsidRDefault="00C623AE" w:rsidP="005248D2">
      <w:r>
        <w:t>Goals 1 and 9 focus on improving elevation data accuracy and Goal 11 addresses variably accuracy and data limitations.</w:t>
      </w:r>
    </w:p>
    <w:p w14:paraId="3D3BEB63" w14:textId="162D7D60" w:rsidR="005718F4" w:rsidRDefault="3E60AAF6" w:rsidP="00065443">
      <w:pPr>
        <w:pStyle w:val="Heading3"/>
        <w:rPr>
          <w:rFonts w:eastAsia="Aptos"/>
        </w:rPr>
      </w:pPr>
      <w:bookmarkStart w:id="20" w:name="_Toc236121095"/>
      <w:r w:rsidRPr="004920C7">
        <w:rPr>
          <w:rFonts w:eastAsia="Aptos"/>
        </w:rPr>
        <w:t>Consistency</w:t>
      </w:r>
      <w:bookmarkEnd w:id="20"/>
      <w:r w:rsidR="006945FA">
        <w:rPr>
          <w:rFonts w:eastAsia="Aptos"/>
        </w:rPr>
        <w:t xml:space="preserve"> </w:t>
      </w:r>
    </w:p>
    <w:p w14:paraId="2FA006A6" w14:textId="33CD9678" w:rsidR="006D0FFC" w:rsidRDefault="006D0FFC" w:rsidP="006D0FFC">
      <w:r>
        <w:t xml:space="preserve">Consistency highlights the similarities and differences between data </w:t>
      </w:r>
      <w:r w:rsidR="006E4114">
        <w:t>that are stored in multiple datasets or databases.</w:t>
      </w:r>
    </w:p>
    <w:p w14:paraId="5DADB653" w14:textId="12163B45" w:rsidR="009C0199" w:rsidRDefault="009C0199" w:rsidP="009C0199">
      <w:r w:rsidRPr="009C0199">
        <w:t>Post</w:t>
      </w:r>
      <w:r w:rsidRPr="009C0199">
        <w:noBreakHyphen/>
        <w:t>2018 lidar</w:t>
      </w:r>
      <w:r>
        <w:t xml:space="preserve"> and digital elevation model</w:t>
      </w:r>
      <w:r w:rsidRPr="009C0199">
        <w:t xml:space="preserve"> data generally follow USGS 3DEP standards and consistent LAS/</w:t>
      </w:r>
      <w:proofErr w:type="spellStart"/>
      <w:r w:rsidRPr="009C0199">
        <w:t>GeoTIFF</w:t>
      </w:r>
      <w:proofErr w:type="spellEnd"/>
      <w:r w:rsidRPr="009C0199">
        <w:t xml:space="preserve"> formats, while older datasets vary considerably. DSMs and intensity products show more inconsistency due to unclassified points and nonstandard deliverables.</w:t>
      </w:r>
    </w:p>
    <w:p w14:paraId="72030BD5" w14:textId="15EBEB2E" w:rsidR="00C623AE" w:rsidRPr="009C0199" w:rsidRDefault="00C623AE" w:rsidP="009C0199">
      <w:r>
        <w:t>Goals 1 and 7 target achieving a statewide, consistent elevation dataset</w:t>
      </w:r>
      <w:r w:rsidR="00FF5489">
        <w:t>, and Goal 12 makes sure the dataset is aligned with additional uses, such as elevation-derive hydrography.</w:t>
      </w:r>
    </w:p>
    <w:p w14:paraId="3EB9554B" w14:textId="62371661" w:rsidR="005718F4" w:rsidRDefault="3E60AAF6" w:rsidP="00065443">
      <w:pPr>
        <w:pStyle w:val="Heading3"/>
        <w:rPr>
          <w:rFonts w:eastAsia="Aptos"/>
        </w:rPr>
      </w:pPr>
      <w:bookmarkStart w:id="21" w:name="_Toc236121096"/>
      <w:r w:rsidRPr="004920C7">
        <w:rPr>
          <w:rFonts w:eastAsia="Aptos"/>
        </w:rPr>
        <w:t>Completeness</w:t>
      </w:r>
      <w:bookmarkEnd w:id="21"/>
    </w:p>
    <w:p w14:paraId="66BB9F22" w14:textId="1F2899BC" w:rsidR="006E4114" w:rsidRDefault="006E4114" w:rsidP="006E4114">
      <w:r>
        <w:t xml:space="preserve">Completeness is a measurement of whether the data within a dataset </w:t>
      </w:r>
      <w:proofErr w:type="gramStart"/>
      <w:r>
        <w:t>are</w:t>
      </w:r>
      <w:proofErr w:type="gramEnd"/>
      <w:r>
        <w:t xml:space="preserve"> comprehensive</w:t>
      </w:r>
      <w:r w:rsidR="00017507">
        <w:t xml:space="preserve"> and </w:t>
      </w:r>
      <w:r w:rsidR="00FF5489">
        <w:t>represents</w:t>
      </w:r>
      <w:r w:rsidR="00017507">
        <w:t xml:space="preserve"> </w:t>
      </w:r>
      <w:proofErr w:type="gramStart"/>
      <w:r w:rsidR="00017507">
        <w:t>all of</w:t>
      </w:r>
      <w:proofErr w:type="gramEnd"/>
      <w:r w:rsidR="00017507">
        <w:t xml:space="preserve"> the required observations.</w:t>
      </w:r>
    </w:p>
    <w:p w14:paraId="035834A2" w14:textId="26520123" w:rsidR="009C0199" w:rsidRDefault="009C0199" w:rsidP="006E4114">
      <w:r w:rsidRPr="009C0199">
        <w:t>Current</w:t>
      </w:r>
      <w:r>
        <w:t>ly</w:t>
      </w:r>
      <w:r w:rsidRPr="009C0199">
        <w:t xml:space="preserve"> statewide lidar is incomplete with gaps and primarily ground</w:t>
      </w:r>
      <w:r w:rsidRPr="009C0199">
        <w:rPr>
          <w:rFonts w:ascii="Cambria Math" w:hAnsi="Cambria Math" w:cs="Cambria Math"/>
        </w:rPr>
        <w:t>‑</w:t>
      </w:r>
      <w:r w:rsidRPr="009C0199">
        <w:t>only classifications. Some datasets like DSMs, contours, and intensity are not available statewide or vary by project. Short</w:t>
      </w:r>
      <w:r w:rsidRPr="009C0199">
        <w:rPr>
          <w:rFonts w:ascii="Cambria Math" w:hAnsi="Cambria Math" w:cs="Cambria Math"/>
        </w:rPr>
        <w:t>‑</w:t>
      </w:r>
      <w:r w:rsidRPr="009C0199">
        <w:t>term and long</w:t>
      </w:r>
      <w:r w:rsidRPr="009C0199">
        <w:rPr>
          <w:rFonts w:ascii="Cambria Math" w:hAnsi="Cambria Math" w:cs="Cambria Math"/>
        </w:rPr>
        <w:t>‑</w:t>
      </w:r>
      <w:r w:rsidRPr="009C0199">
        <w:t>term goals emphasize a fully complete statewide elevation dataset at defined resolutions (</w:t>
      </w:r>
      <w:proofErr w:type="gramStart"/>
      <w:r w:rsidRPr="009C0199">
        <w:t>1</w:t>
      </w:r>
      <w:r>
        <w:t xml:space="preserve"> meter</w:t>
      </w:r>
      <w:proofErr w:type="gramEnd"/>
      <w:r w:rsidRPr="009C0199">
        <w:t xml:space="preserve"> D</w:t>
      </w:r>
      <w:r>
        <w:t xml:space="preserve">igital Elevation Models).  </w:t>
      </w:r>
      <w:r w:rsidRPr="009C0199">
        <w:t xml:space="preserve"> </w:t>
      </w:r>
      <w:r>
        <w:t>Ex</w:t>
      </w:r>
      <w:r w:rsidRPr="009C0199">
        <w:t>panding QL1 coverage</w:t>
      </w:r>
      <w:r>
        <w:t xml:space="preserve"> is recommended.</w:t>
      </w:r>
    </w:p>
    <w:p w14:paraId="036F796E" w14:textId="3FE64F5A" w:rsidR="00C623AE" w:rsidRDefault="00C623AE" w:rsidP="006E4114">
      <w:r>
        <w:t xml:space="preserve">Goals 1 and 3 </w:t>
      </w:r>
      <w:r w:rsidR="00875B2D">
        <w:t>lead to</w:t>
      </w:r>
      <w:r>
        <w:t xml:space="preserve"> a complete</w:t>
      </w:r>
      <w:r w:rsidR="00875B2D">
        <w:t>, statewide</w:t>
      </w:r>
      <w:r>
        <w:t xml:space="preserve"> elevation dataset and Goal 10 sets a continued path.</w:t>
      </w:r>
    </w:p>
    <w:p w14:paraId="67440542" w14:textId="7F6C85B2" w:rsidR="005718F4" w:rsidRPr="004920C7" w:rsidRDefault="3E60AAF6" w:rsidP="00065443">
      <w:pPr>
        <w:pStyle w:val="Heading3"/>
        <w:rPr>
          <w:rFonts w:eastAsia="Aptos"/>
        </w:rPr>
      </w:pPr>
      <w:bookmarkStart w:id="22" w:name="_Toc236121097"/>
      <w:r w:rsidRPr="004920C7">
        <w:rPr>
          <w:rFonts w:eastAsia="Aptos"/>
        </w:rPr>
        <w:lastRenderedPageBreak/>
        <w:t>Timeliness</w:t>
      </w:r>
      <w:bookmarkEnd w:id="22"/>
    </w:p>
    <w:p w14:paraId="69EE94A8" w14:textId="1B28DF2F" w:rsidR="00DE3CF2" w:rsidRDefault="00DE3CF2" w:rsidP="00DE3CF2">
      <w:r w:rsidRPr="004920C7">
        <w:t>Time</w:t>
      </w:r>
      <w:r w:rsidR="00161DE4" w:rsidRPr="004920C7">
        <w:t xml:space="preserve">liness is an assessment of the data’s </w:t>
      </w:r>
      <w:proofErr w:type="gramStart"/>
      <w:r w:rsidR="00161DE4" w:rsidRPr="004920C7">
        <w:t>update</w:t>
      </w:r>
      <w:proofErr w:type="gramEnd"/>
      <w:r w:rsidR="00161DE4" w:rsidRPr="004920C7">
        <w:t xml:space="preserve"> c</w:t>
      </w:r>
      <w:r w:rsidR="00E736DC" w:rsidRPr="004920C7">
        <w:t>ycles and temporality to internal and external deadlines and reporting needs.</w:t>
      </w:r>
    </w:p>
    <w:p w14:paraId="7C17ABC9" w14:textId="5AF1C1FE" w:rsidR="009C0199" w:rsidRDefault="009C0199" w:rsidP="00DE3CF2">
      <w:r w:rsidRPr="009C0199">
        <w:t>Standard USGS 3DEP projects have a two</w:t>
      </w:r>
      <w:r w:rsidRPr="009C0199">
        <w:rPr>
          <w:rFonts w:ascii="Cambria Math" w:hAnsi="Cambria Math" w:cs="Cambria Math"/>
        </w:rPr>
        <w:t>‑</w:t>
      </w:r>
      <w:r w:rsidRPr="009C0199">
        <w:t xml:space="preserve">year turnaround, while state projects are closer to one year. Ideal timelines call for 1 year or less from flight to delivery and rapid updates after major landscape changes (fires, floods, landslides). Visual products like </w:t>
      </w:r>
      <w:proofErr w:type="spellStart"/>
      <w:r w:rsidRPr="009C0199">
        <w:t>hillshade</w:t>
      </w:r>
      <w:proofErr w:type="spellEnd"/>
      <w:r w:rsidRPr="009C0199">
        <w:t xml:space="preserve"> are expected to follow DTM timelines.</w:t>
      </w:r>
    </w:p>
    <w:p w14:paraId="312F1E29" w14:textId="06C0025A" w:rsidR="00C623AE" w:rsidRDefault="00C623AE" w:rsidP="00DE3CF2">
      <w:r>
        <w:t xml:space="preserve">Goals 5 and 6 improve timeliness for business workflows, but long turnaround </w:t>
      </w:r>
      <w:r w:rsidR="00FF5489">
        <w:t>time on lidar acquisitions</w:t>
      </w:r>
      <w:r w:rsidR="00875B2D">
        <w:t xml:space="preserve"> is also listed as a parking lot item and challenge in </w:t>
      </w:r>
      <w:r w:rsidR="00FF5489">
        <w:t xml:space="preserve">the </w:t>
      </w:r>
      <w:r w:rsidR="00875B2D">
        <w:t>sections below.</w:t>
      </w:r>
    </w:p>
    <w:p w14:paraId="548B3A30" w14:textId="77777777" w:rsidR="004920C7" w:rsidRPr="004920C7" w:rsidRDefault="004920C7" w:rsidP="004920C7">
      <w:pPr>
        <w:pStyle w:val="Heading3"/>
        <w:rPr>
          <w:rFonts w:eastAsia="Aptos"/>
        </w:rPr>
      </w:pPr>
      <w:bookmarkStart w:id="23" w:name="_Toc236121098"/>
      <w:r w:rsidRPr="004920C7">
        <w:rPr>
          <w:rFonts w:eastAsia="Aptos"/>
        </w:rPr>
        <w:t>Update Frequency</w:t>
      </w:r>
      <w:bookmarkEnd w:id="23"/>
    </w:p>
    <w:p w14:paraId="17B76438" w14:textId="505ECC7D" w:rsidR="004920C7" w:rsidRDefault="004920C7" w:rsidP="004920C7">
      <w:r w:rsidRPr="004920C7">
        <w:t>Update Frequency</w:t>
      </w:r>
      <w:r w:rsidR="008D5C3D">
        <w:t xml:space="preserve">, an aspect of Timeliness, </w:t>
      </w:r>
      <w:r w:rsidR="00542E05">
        <w:t xml:space="preserve">is defined by how often the data </w:t>
      </w:r>
      <w:r w:rsidR="009C0199">
        <w:t>is</w:t>
      </w:r>
      <w:r w:rsidR="00542E05">
        <w:t xml:space="preserve"> updated</w:t>
      </w:r>
      <w:r w:rsidR="00AE24B5">
        <w:t>.</w:t>
      </w:r>
    </w:p>
    <w:p w14:paraId="2DFED56E" w14:textId="5FD7BFEF" w:rsidR="009C0199" w:rsidRDefault="009C0199" w:rsidP="009C0199">
      <w:r w:rsidRPr="009C0199">
        <w:t>Ideal statewide lidar/DTM update cycle is every 5–8 years, with annual or event</w:t>
      </w:r>
      <w:r w:rsidRPr="009C0199">
        <w:noBreakHyphen/>
        <w:t>based updates for high</w:t>
      </w:r>
      <w:r w:rsidRPr="009C0199">
        <w:noBreakHyphen/>
        <w:t>change areas. DSMs require similar or more frequent updates due to vegetation sensitivity.</w:t>
      </w:r>
    </w:p>
    <w:p w14:paraId="4A90BE9C" w14:textId="51F00C6E" w:rsidR="00875B2D" w:rsidRPr="009C0199" w:rsidRDefault="00875B2D" w:rsidP="009C0199">
      <w:r>
        <w:t>Goal 10 is about identifying an appropriate update frequency and general strategy to achieve it.</w:t>
      </w:r>
    </w:p>
    <w:p w14:paraId="7C441781" w14:textId="77777777" w:rsidR="004920C7" w:rsidRDefault="004920C7" w:rsidP="004920C7">
      <w:pPr>
        <w:pStyle w:val="Heading3"/>
        <w:rPr>
          <w:rFonts w:eastAsia="Aptos"/>
        </w:rPr>
      </w:pPr>
      <w:bookmarkStart w:id="24" w:name="_Toc236121099"/>
      <w:r w:rsidRPr="004920C7">
        <w:rPr>
          <w:rFonts w:eastAsia="Aptos"/>
        </w:rPr>
        <w:t>Archive Frequency</w:t>
      </w:r>
      <w:bookmarkEnd w:id="24"/>
    </w:p>
    <w:p w14:paraId="75127D9A" w14:textId="7432C036" w:rsidR="00542E05" w:rsidRDefault="00542E05" w:rsidP="00542E05">
      <w:r>
        <w:t>Archive Frequency is defined as how often</w:t>
      </w:r>
      <w:r w:rsidR="00ED3673">
        <w:t xml:space="preserve"> the data are archived or how often a snapshot of the data </w:t>
      </w:r>
      <w:r w:rsidR="00AF62FE">
        <w:t>is</w:t>
      </w:r>
      <w:r w:rsidR="00ED3673">
        <w:t xml:space="preserve"> taken. A</w:t>
      </w:r>
      <w:r w:rsidR="00F455E9">
        <w:t>rchive Frequency is another aspect of Timeliness</w:t>
      </w:r>
      <w:r w:rsidR="00EF0A08">
        <w:t>.</w:t>
      </w:r>
    </w:p>
    <w:p w14:paraId="40B40AB2" w14:textId="622B9FC5" w:rsidR="009C0199" w:rsidRDefault="009C0199" w:rsidP="00542E05">
      <w:r w:rsidRPr="009C0199">
        <w:t>Project</w:t>
      </w:r>
      <w:r w:rsidRPr="009C0199">
        <w:rPr>
          <w:rFonts w:ascii="Cambria Math" w:hAnsi="Cambria Math" w:cs="Cambria Math"/>
        </w:rPr>
        <w:t>‑</w:t>
      </w:r>
      <w:r w:rsidRPr="009C0199">
        <w:t>level lidar is archived</w:t>
      </w:r>
      <w:r w:rsidR="003F663F">
        <w:t xml:space="preserve"> as it existed at the time of</w:t>
      </w:r>
      <w:r w:rsidRPr="009C0199">
        <w:t xml:space="preserve"> delive</w:t>
      </w:r>
      <w:r w:rsidR="003F663F">
        <w:t>ry from the contractor</w:t>
      </w:r>
      <w:r w:rsidRPr="009C0199">
        <w:t xml:space="preserve">; statewide compiled datasets </w:t>
      </w:r>
      <w:r w:rsidR="003F663F">
        <w:t xml:space="preserve">will be </w:t>
      </w:r>
      <w:r w:rsidRPr="009C0199">
        <w:t>archived each time they are updated. Some products (e.g., contours) require less frequent archiving, maintaining only best</w:t>
      </w:r>
      <w:r w:rsidRPr="009C0199">
        <w:rPr>
          <w:rFonts w:ascii="Cambria Math" w:hAnsi="Cambria Math" w:cs="Cambria Math"/>
        </w:rPr>
        <w:t>‑</w:t>
      </w:r>
      <w:r w:rsidRPr="009C0199">
        <w:t>available statewide versions.</w:t>
      </w:r>
    </w:p>
    <w:p w14:paraId="519E98F4" w14:textId="4D5581AA" w:rsidR="00875B2D" w:rsidRDefault="00875B2D" w:rsidP="00542E05">
      <w:r>
        <w:t>Archive frequency is not directly addressed by any Goal</w:t>
      </w:r>
      <w:r w:rsidR="00FF5489">
        <w:t>; however, Goal 8 looks at redundancy and makes sure</w:t>
      </w:r>
      <w:r w:rsidR="003F663F">
        <w:t xml:space="preserve"> data are stored and available </w:t>
      </w:r>
      <w:r w:rsidR="006700AC">
        <w:t>for long-term access</w:t>
      </w:r>
      <w:r w:rsidR="003F663F">
        <w:t xml:space="preserve"> (e.g.,</w:t>
      </w:r>
      <w:r w:rsidR="00FF5489">
        <w:t xml:space="preserve"> the Montana Lidar Inventory and other distribution platforms </w:t>
      </w:r>
      <w:r w:rsidR="003F663F">
        <w:t>complement</w:t>
      </w:r>
      <w:r w:rsidR="00FF5489">
        <w:t xml:space="preserve"> one another</w:t>
      </w:r>
      <w:r w:rsidR="003F663F">
        <w:t>)</w:t>
      </w:r>
      <w:r w:rsidR="00FF5489">
        <w:t>.</w:t>
      </w:r>
    </w:p>
    <w:p w14:paraId="62128C1C" w14:textId="5F8AD189" w:rsidR="005718F4" w:rsidRDefault="3E60AAF6" w:rsidP="00065443">
      <w:pPr>
        <w:pStyle w:val="Heading3"/>
        <w:rPr>
          <w:rFonts w:eastAsia="Aptos"/>
        </w:rPr>
      </w:pPr>
      <w:bookmarkStart w:id="25" w:name="_Toc236121100"/>
      <w:r w:rsidRPr="004920C7">
        <w:rPr>
          <w:rFonts w:eastAsia="Aptos"/>
        </w:rPr>
        <w:t>Integrity</w:t>
      </w:r>
      <w:bookmarkEnd w:id="25"/>
    </w:p>
    <w:p w14:paraId="18F8B7A3" w14:textId="2AF829A4" w:rsidR="00017507" w:rsidRDefault="00017507" w:rsidP="00017507">
      <w:r>
        <w:t xml:space="preserve">Integrity is an assessment </w:t>
      </w:r>
      <w:r w:rsidR="00E91272">
        <w:t xml:space="preserve">of </w:t>
      </w:r>
      <w:r w:rsidR="003C1EBB">
        <w:t>the data’s structure, schema, and maintenance workflows</w:t>
      </w:r>
      <w:r w:rsidR="00E91272">
        <w:t xml:space="preserve"> for accuracy, precision, consistency, completeness</w:t>
      </w:r>
      <w:r w:rsidR="006A1A61">
        <w:t xml:space="preserve"> </w:t>
      </w:r>
      <w:r w:rsidR="00AF62FE">
        <w:t>to</w:t>
      </w:r>
      <w:r w:rsidR="006A1A61">
        <w:t xml:space="preserve"> meet a user’s needs and interoperability.</w:t>
      </w:r>
    </w:p>
    <w:p w14:paraId="1A79902B" w14:textId="60671513" w:rsidR="009C0199" w:rsidRDefault="009C0199" w:rsidP="00017507">
      <w:r w:rsidRPr="009C0199">
        <w:t xml:space="preserve">More recent lidar and DTM projects include thorough metadata, reports, and standardized classification. Older projects may contain integrity issues such as missing intensity values, </w:t>
      </w:r>
      <w:r w:rsidRPr="009C0199">
        <w:lastRenderedPageBreak/>
        <w:t>inconsistent point classifications, or lack of deliverables. Full classification of point clouds is a long</w:t>
      </w:r>
      <w:r w:rsidRPr="009C0199">
        <w:rPr>
          <w:rFonts w:ascii="Cambria Math" w:hAnsi="Cambria Math" w:cs="Cambria Math"/>
        </w:rPr>
        <w:t>‑</w:t>
      </w:r>
      <w:r w:rsidRPr="009C0199">
        <w:t>term integrity goal.</w:t>
      </w:r>
    </w:p>
    <w:p w14:paraId="6F9F48A5" w14:textId="35902AC9" w:rsidR="00875B2D" w:rsidRDefault="00875B2D" w:rsidP="00017507">
      <w:r>
        <w:t>Goal 11 is about improving integrity through clear metadata and understanding of limitations.</w:t>
      </w:r>
    </w:p>
    <w:p w14:paraId="163976A9" w14:textId="6DC4053E" w:rsidR="005718F4" w:rsidRDefault="3E60AAF6" w:rsidP="00065443">
      <w:pPr>
        <w:pStyle w:val="Heading3"/>
        <w:rPr>
          <w:rFonts w:eastAsia="Aptos"/>
        </w:rPr>
      </w:pPr>
      <w:bookmarkStart w:id="26" w:name="_Toc236121101"/>
      <w:r w:rsidRPr="004920C7">
        <w:rPr>
          <w:rFonts w:eastAsia="Aptos"/>
        </w:rPr>
        <w:t>Relevance</w:t>
      </w:r>
      <w:bookmarkEnd w:id="26"/>
    </w:p>
    <w:p w14:paraId="4488FE5D" w14:textId="0ECA81FE" w:rsidR="0089467E" w:rsidRDefault="0089467E" w:rsidP="0089467E">
      <w:r>
        <w:t xml:space="preserve">Relevance refers to whether data are available, accessible, </w:t>
      </w:r>
      <w:r w:rsidR="00D8640A">
        <w:t>and meet the requirements for a given business use based on completeness, consistency, precision, accuracy, integrity, and timeliness.</w:t>
      </w:r>
    </w:p>
    <w:p w14:paraId="3B602A32" w14:textId="1C97AB56" w:rsidR="009C0199" w:rsidRDefault="009C0199" w:rsidP="0089467E">
      <w:r w:rsidRPr="009C0199">
        <w:t>Lidar has strong documented relevance (over 2,000 use examples</w:t>
      </w:r>
      <w:r w:rsidR="00AD7B2C">
        <w:t xml:space="preserve"> in the Montana Lidar Inventory – Data Use Survey page</w:t>
      </w:r>
      <w:r w:rsidRPr="009C0199">
        <w:t xml:space="preserve">), supporting hydrology, geohazards, vegetation, planning, </w:t>
      </w:r>
      <w:r w:rsidR="00AD7B2C">
        <w:t xml:space="preserve">ground surveying, site planning, </w:t>
      </w:r>
      <w:r w:rsidRPr="009C0199">
        <w:t>and more. Some products (DSM, canopy height, intensity) have emerging relevance</w:t>
      </w:r>
      <w:r>
        <w:t xml:space="preserve"> and would benefit from</w:t>
      </w:r>
      <w:r w:rsidRPr="009C0199">
        <w:t xml:space="preserve"> standardization and better alignment with use case</w:t>
      </w:r>
      <w:r w:rsidR="00AD7B2C">
        <w:t>s</w:t>
      </w:r>
      <w:r w:rsidRPr="009C0199">
        <w:t xml:space="preserve">. </w:t>
      </w:r>
      <w:proofErr w:type="spellStart"/>
      <w:r w:rsidRPr="009C0199">
        <w:t>Hillshade</w:t>
      </w:r>
      <w:proofErr w:type="spellEnd"/>
      <w:r w:rsidRPr="009C0199">
        <w:t xml:space="preserve"> and contours are highly relevant to public and novice users due to ease of inte</w:t>
      </w:r>
      <w:r w:rsidR="00AD7B2C">
        <w:t>rp</w:t>
      </w:r>
      <w:r w:rsidRPr="009C0199">
        <w:t>retation.</w:t>
      </w:r>
    </w:p>
    <w:p w14:paraId="09228F19" w14:textId="7D3B4AC6" w:rsidR="00875B2D" w:rsidRDefault="00875B2D" w:rsidP="0089467E">
      <w:r>
        <w:t>Goal</w:t>
      </w:r>
      <w:r w:rsidR="00FF5489">
        <w:t>s</w:t>
      </w:r>
      <w:r>
        <w:t xml:space="preserve"> 2</w:t>
      </w:r>
      <w:r w:rsidR="00FF5489">
        <w:t>, 4, and 5 are</w:t>
      </w:r>
      <w:r>
        <w:t xml:space="preserve"> about improving useability and availability</w:t>
      </w:r>
      <w:r w:rsidR="00FF5489">
        <w:t>,</w:t>
      </w:r>
      <w:r>
        <w:t xml:space="preserve"> and Goal 6 targets improving business relevance.</w:t>
      </w:r>
    </w:p>
    <w:p w14:paraId="0E2D9B46" w14:textId="53A3391B" w:rsidR="005718F4" w:rsidRPr="006C49A3" w:rsidRDefault="3E60AAF6" w:rsidP="00065443">
      <w:pPr>
        <w:pStyle w:val="Heading2"/>
        <w:rPr>
          <w:rFonts w:eastAsia="Aptos"/>
          <w:sz w:val="28"/>
          <w:szCs w:val="28"/>
        </w:rPr>
      </w:pPr>
      <w:bookmarkStart w:id="27" w:name="_Toc236121102"/>
      <w:r w:rsidRPr="006C49A3">
        <w:rPr>
          <w:rFonts w:eastAsia="Aptos"/>
          <w:sz w:val="28"/>
          <w:szCs w:val="28"/>
        </w:rPr>
        <w:t>In the Parking Lot</w:t>
      </w:r>
      <w:bookmarkEnd w:id="27"/>
    </w:p>
    <w:p w14:paraId="20F1A739" w14:textId="71A8F505" w:rsidR="00BC0C86" w:rsidRDefault="00BC0C86" w:rsidP="00FA711B">
      <w:r>
        <w:t>Parking</w:t>
      </w:r>
      <w:r>
        <w:rPr>
          <w:rFonts w:ascii="Cambria Math" w:hAnsi="Cambria Math" w:cs="Cambria Math"/>
        </w:rPr>
        <w:t>‑</w:t>
      </w:r>
      <w:r>
        <w:t>lot items are aspirational, longer</w:t>
      </w:r>
      <w:r>
        <w:rPr>
          <w:rFonts w:ascii="Cambria Math" w:hAnsi="Cambria Math" w:cs="Cambria Math"/>
        </w:rPr>
        <w:t>‑</w:t>
      </w:r>
      <w:r>
        <w:t>range efforts that will advance the elevation theme when funding, staffing, and partnerships allow.</w:t>
      </w:r>
    </w:p>
    <w:p w14:paraId="64453432" w14:textId="4B449414" w:rsidR="00FA711B" w:rsidRDefault="00FA711B" w:rsidP="00FA711B">
      <w:r>
        <w:t xml:space="preserve">Several </w:t>
      </w:r>
      <w:r w:rsidR="00A0535D">
        <w:t>goals identified</w:t>
      </w:r>
      <w:r w:rsidR="00AD7B2C">
        <w:t xml:space="preserve"> during</w:t>
      </w:r>
      <w:r w:rsidR="00A0535D">
        <w:t xml:space="preserve"> the assessment</w:t>
      </w:r>
      <w:r>
        <w:t xml:space="preserve"> </w:t>
      </w:r>
      <w:r w:rsidR="00AD7B2C">
        <w:t xml:space="preserve">process </w:t>
      </w:r>
      <w:r>
        <w:t>extend beyond the five</w:t>
      </w:r>
      <w:r>
        <w:rPr>
          <w:rFonts w:ascii="Cambria Math" w:hAnsi="Cambria Math" w:cs="Cambria Math"/>
        </w:rPr>
        <w:t>‑</w:t>
      </w:r>
      <w:r>
        <w:t xml:space="preserve">year horizon and are better suited for the </w:t>
      </w:r>
      <w:r w:rsidR="00AD7B2C">
        <w:t>“</w:t>
      </w:r>
      <w:r>
        <w:t>parking lot.</w:t>
      </w:r>
      <w:r w:rsidR="00AD7B2C">
        <w:t>”</w:t>
      </w:r>
      <w:r>
        <w:t xml:space="preserve"> These efforts are important, but they require sustained funding, specialized expertise, </w:t>
      </w:r>
      <w:proofErr w:type="gramStart"/>
      <w:r>
        <w:t>or cross</w:t>
      </w:r>
      <w:r>
        <w:rPr>
          <w:rFonts w:ascii="Cambria Math" w:hAnsi="Cambria Math" w:cs="Cambria Math"/>
        </w:rPr>
        <w:t>‑</w:t>
      </w:r>
      <w:r>
        <w:t>agency</w:t>
      </w:r>
      <w:r w:rsidR="00AD7B2C">
        <w:t>/</w:t>
      </w:r>
      <w:proofErr w:type="gramEnd"/>
      <w:r w:rsidR="00AD7B2C">
        <w:t>cross-government</w:t>
      </w:r>
      <w:r>
        <w:t xml:space="preserve"> coordination that is not yet realistic. Full, statewide point</w:t>
      </w:r>
      <w:r>
        <w:rPr>
          <w:rFonts w:ascii="Cambria Math" w:hAnsi="Cambria Math" w:cs="Cambria Math"/>
        </w:rPr>
        <w:t>‑</w:t>
      </w:r>
      <w:r>
        <w:t>cloud classification</w:t>
      </w:r>
      <w:r>
        <w:rPr>
          <w:rFonts w:ascii="Aptos" w:hAnsi="Aptos" w:cs="Aptos"/>
        </w:rPr>
        <w:t>—</w:t>
      </w:r>
      <w:r>
        <w:t>buildings, vegetation, and other detailed classes</w:t>
      </w:r>
      <w:r>
        <w:rPr>
          <w:rFonts w:ascii="Aptos" w:hAnsi="Aptos" w:cs="Aptos"/>
        </w:rPr>
        <w:t>—</w:t>
      </w:r>
      <w:r>
        <w:t>is a prime example. While progress has been mad</w:t>
      </w:r>
      <w:r w:rsidR="00AD7B2C">
        <w:t>e</w:t>
      </w:r>
      <w:r w:rsidR="00A0535D">
        <w:t xml:space="preserve"> for s</w:t>
      </w:r>
      <w:r w:rsidR="00AD7B2C">
        <w:t xml:space="preserve">pecific </w:t>
      </w:r>
      <w:r>
        <w:t xml:space="preserve">locations, the cost and </w:t>
      </w:r>
      <w:r w:rsidR="00A0535D">
        <w:t>lack of in-house expertise</w:t>
      </w:r>
      <w:r>
        <w:t xml:space="preserve"> make this a long</w:t>
      </w:r>
      <w:r>
        <w:rPr>
          <w:rFonts w:ascii="Cambria Math" w:hAnsi="Cambria Math" w:cs="Cambria Math"/>
        </w:rPr>
        <w:t>‑</w:t>
      </w:r>
      <w:r>
        <w:t>term objective rather than an immediate priority. Similar constraints apply</w:t>
      </w:r>
      <w:r w:rsidR="00A0535D">
        <w:t xml:space="preserve"> to Goal 9’s recommendation for </w:t>
      </w:r>
      <w:r>
        <w:t>future lidar collections at QL1 and effort</w:t>
      </w:r>
      <w:r w:rsidR="00A0535D">
        <w:t>s</w:t>
      </w:r>
      <w:r>
        <w:t xml:space="preserve"> to move Montana toward 0.5</w:t>
      </w:r>
      <w:r>
        <w:rPr>
          <w:rFonts w:ascii="Cambria Math" w:hAnsi="Cambria Math" w:cs="Cambria Math"/>
        </w:rPr>
        <w:t>‑</w:t>
      </w:r>
      <w:r>
        <w:t xml:space="preserve">meter </w:t>
      </w:r>
      <w:proofErr w:type="spellStart"/>
      <w:r>
        <w:t>DEM</w:t>
      </w:r>
      <w:r w:rsidR="00A0535D">
        <w:t>s</w:t>
      </w:r>
      <w:r>
        <w:t>.</w:t>
      </w:r>
      <w:proofErr w:type="spellEnd"/>
      <w:r w:rsidR="00A0535D">
        <w:t xml:space="preserve">  </w:t>
      </w:r>
      <w:r>
        <w:t xml:space="preserve">Both represent ideal conditions for advanced </w:t>
      </w:r>
      <w:r w:rsidR="006700AC">
        <w:t>use cases</w:t>
      </w:r>
      <w:r>
        <w:t>, but acquisition and storage costs are significant, and federal funding will ultimately dictate feasibility</w:t>
      </w:r>
      <w:r w:rsidR="00A0535D">
        <w:t xml:space="preserve"> and the timeline for statewide completion.</w:t>
      </w:r>
    </w:p>
    <w:p w14:paraId="17F2393B" w14:textId="4F0E5E31" w:rsidR="00FA711B" w:rsidRDefault="00FA711B" w:rsidP="00FA711B">
      <w:r>
        <w:t>Other long</w:t>
      </w:r>
      <w:r>
        <w:rPr>
          <w:rFonts w:ascii="Cambria Math" w:hAnsi="Cambria Math" w:cs="Cambria Math"/>
        </w:rPr>
        <w:t>‑</w:t>
      </w:r>
      <w:r>
        <w:t>term items relate to timeliness: rapid, sub</w:t>
      </w:r>
      <w:r>
        <w:rPr>
          <w:rFonts w:ascii="Cambria Math" w:hAnsi="Cambria Math" w:cs="Cambria Math"/>
        </w:rPr>
        <w:t>‑</w:t>
      </w:r>
      <w:r>
        <w:t>one</w:t>
      </w:r>
      <w:r>
        <w:rPr>
          <w:rFonts w:ascii="Cambria Math" w:hAnsi="Cambria Math" w:cs="Cambria Math"/>
        </w:rPr>
        <w:t>‑</w:t>
      </w:r>
      <w:r>
        <w:t xml:space="preserve">year </w:t>
      </w:r>
      <w:r w:rsidR="00AD7B2C">
        <w:t xml:space="preserve">to </w:t>
      </w:r>
      <w:proofErr w:type="gramStart"/>
      <w:r w:rsidR="00AD7B2C">
        <w:t>18 month</w:t>
      </w:r>
      <w:proofErr w:type="gramEnd"/>
      <w:r w:rsidR="00AD7B2C">
        <w:t xml:space="preserve"> </w:t>
      </w:r>
      <w:r>
        <w:t xml:space="preserve">final data delivery from USGS, and faster emergency-triggered acquisitions. </w:t>
      </w:r>
      <w:r w:rsidR="009273C1" w:rsidRPr="009273C1">
        <w:t>While desirable</w:t>
      </w:r>
      <w:r w:rsidR="009273C1">
        <w:t xml:space="preserve"> </w:t>
      </w:r>
      <w:r w:rsidR="009273C1" w:rsidRPr="009273C1">
        <w:t>to shorten the turnaround time for data delivery to less than 18 months from acquisition, doing so relies heavily on external timelines and resources outside Montana’s control.</w:t>
      </w:r>
      <w:r>
        <w:t xml:space="preserve"> A </w:t>
      </w:r>
      <w:r>
        <w:lastRenderedPageBreak/>
        <w:t>rapid</w:t>
      </w:r>
      <w:r>
        <w:rPr>
          <w:rFonts w:ascii="Cambria Math" w:hAnsi="Cambria Math" w:cs="Cambria Math"/>
        </w:rPr>
        <w:t>‑</w:t>
      </w:r>
      <w:r>
        <w:t>response lidar program would be valuable, especially after floods, landslides, or wildfires, but no sustainable funding mechanism exists yet to support that level of flexibility.</w:t>
      </w:r>
    </w:p>
    <w:p w14:paraId="6E4DC328" w14:textId="3BB28928" w:rsidR="00FA711B" w:rsidRDefault="00D32673" w:rsidP="00FA711B">
      <w:r>
        <w:t>T</w:t>
      </w:r>
      <w:r w:rsidR="00FA711B">
        <w:t>hese long</w:t>
      </w:r>
      <w:r w:rsidR="00FA711B">
        <w:rPr>
          <w:rFonts w:ascii="Cambria Math" w:hAnsi="Cambria Math" w:cs="Cambria Math"/>
        </w:rPr>
        <w:t>‑</w:t>
      </w:r>
      <w:r w:rsidR="00FA711B">
        <w:t>term goals and challenges form a list of items that require continued attention, but not immediate implementation</w:t>
      </w:r>
      <w:r w:rsidR="006E30F1">
        <w:rPr>
          <w:rFonts w:ascii="Aptos" w:hAnsi="Aptos" w:cs="Aptos"/>
        </w:rPr>
        <w:t xml:space="preserve">.  </w:t>
      </w:r>
    </w:p>
    <w:p w14:paraId="23BB1A8E" w14:textId="5C5283AD" w:rsidR="005718F4" w:rsidRDefault="3E60AAF6" w:rsidP="00065443">
      <w:pPr>
        <w:pStyle w:val="Heading2"/>
        <w:rPr>
          <w:rFonts w:eastAsia="Aptos"/>
          <w:sz w:val="28"/>
          <w:szCs w:val="28"/>
        </w:rPr>
      </w:pPr>
      <w:bookmarkStart w:id="28" w:name="_Toc236121103"/>
      <w:r w:rsidRPr="006C49A3">
        <w:rPr>
          <w:rFonts w:eastAsia="Aptos"/>
          <w:sz w:val="28"/>
          <w:szCs w:val="28"/>
        </w:rPr>
        <w:t>High Level Schedule</w:t>
      </w:r>
      <w:bookmarkEnd w:id="28"/>
    </w:p>
    <w:tbl>
      <w:tblPr>
        <w:tblW w:w="10781" w:type="dxa"/>
        <w:tblLook w:val="04A0" w:firstRow="1" w:lastRow="0" w:firstColumn="1" w:lastColumn="0" w:noHBand="0" w:noVBand="1"/>
      </w:tblPr>
      <w:tblGrid>
        <w:gridCol w:w="3281"/>
        <w:gridCol w:w="2744"/>
        <w:gridCol w:w="736"/>
        <w:gridCol w:w="804"/>
        <w:gridCol w:w="804"/>
        <w:gridCol w:w="804"/>
        <w:gridCol w:w="785"/>
        <w:gridCol w:w="19"/>
        <w:gridCol w:w="804"/>
      </w:tblGrid>
      <w:tr w:rsidR="00B45F7D" w:rsidRPr="00603088" w14:paraId="5451A925" w14:textId="77777777" w:rsidTr="00A13F34">
        <w:trPr>
          <w:gridAfter w:val="2"/>
          <w:wAfter w:w="823" w:type="dxa"/>
          <w:trHeight w:val="300"/>
        </w:trPr>
        <w:tc>
          <w:tcPr>
            <w:tcW w:w="3281" w:type="dxa"/>
            <w:vMerge w:val="restart"/>
            <w:tcBorders>
              <w:top w:val="single" w:sz="4" w:space="0" w:color="auto"/>
              <w:left w:val="single" w:sz="4" w:space="0" w:color="auto"/>
              <w:right w:val="single" w:sz="4" w:space="0" w:color="auto"/>
            </w:tcBorders>
            <w:noWrap/>
            <w:vAlign w:val="bottom"/>
          </w:tcPr>
          <w:p w14:paraId="6B44C7D3" w14:textId="77777777" w:rsidR="00B45F7D" w:rsidRPr="002F14BF" w:rsidRDefault="00B45F7D">
            <w:pPr>
              <w:pStyle w:val="ListParagraph"/>
              <w:spacing w:after="0" w:line="240" w:lineRule="auto"/>
              <w:jc w:val="both"/>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Goal</w:t>
            </w:r>
          </w:p>
        </w:tc>
        <w:tc>
          <w:tcPr>
            <w:tcW w:w="2744" w:type="dxa"/>
            <w:vMerge w:val="restart"/>
            <w:tcBorders>
              <w:top w:val="single" w:sz="4" w:space="0" w:color="auto"/>
              <w:left w:val="nil"/>
              <w:right w:val="single" w:sz="4" w:space="0" w:color="auto"/>
            </w:tcBorders>
            <w:noWrap/>
            <w:vAlign w:val="bottom"/>
          </w:tcPr>
          <w:p w14:paraId="48B2E00A" w14:textId="77777777" w:rsidR="00B45F7D" w:rsidRPr="002F14BF" w:rsidRDefault="00B45F7D">
            <w:pPr>
              <w:spacing w:after="0" w:line="240" w:lineRule="auto"/>
              <w:jc w:val="both"/>
              <w:rPr>
                <w:rFonts w:ascii="Aptos Narrow" w:eastAsia="Times New Roman" w:hAnsi="Aptos Narrow" w:cs="Times New Roman"/>
                <w:b/>
                <w:bCs/>
                <w:color w:val="000000"/>
                <w:sz w:val="20"/>
                <w:szCs w:val="20"/>
                <w:lang w:eastAsia="en-US"/>
              </w:rPr>
            </w:pPr>
            <w:r>
              <w:rPr>
                <w:rFonts w:ascii="Aptos Narrow" w:eastAsia="Times New Roman" w:hAnsi="Aptos Narrow" w:cs="Times New Roman"/>
                <w:b/>
                <w:bCs/>
                <w:color w:val="000000"/>
                <w:sz w:val="20"/>
                <w:szCs w:val="20"/>
                <w:lang w:eastAsia="en-US"/>
              </w:rPr>
              <w:t>Task/</w:t>
            </w:r>
            <w:r w:rsidRPr="002F14BF">
              <w:rPr>
                <w:rFonts w:ascii="Aptos Narrow" w:eastAsia="Times New Roman" w:hAnsi="Aptos Narrow" w:cs="Times New Roman"/>
                <w:b/>
                <w:bCs/>
                <w:color w:val="000000"/>
                <w:sz w:val="20"/>
                <w:szCs w:val="20"/>
                <w:lang w:eastAsia="en-US"/>
              </w:rPr>
              <w:t>Notes</w:t>
            </w:r>
          </w:p>
        </w:tc>
        <w:tc>
          <w:tcPr>
            <w:tcW w:w="3933" w:type="dxa"/>
            <w:gridSpan w:val="5"/>
            <w:tcBorders>
              <w:top w:val="single" w:sz="4" w:space="0" w:color="auto"/>
              <w:left w:val="nil"/>
              <w:bottom w:val="single" w:sz="4" w:space="0" w:color="auto"/>
              <w:right w:val="single" w:sz="4" w:space="0" w:color="auto"/>
            </w:tcBorders>
            <w:noWrap/>
            <w:vAlign w:val="bottom"/>
          </w:tcPr>
          <w:p w14:paraId="1149B92D" w14:textId="031303AD" w:rsidR="00B45F7D" w:rsidRPr="002F14BF" w:rsidRDefault="00454468" w:rsidP="00454468">
            <w:pPr>
              <w:spacing w:after="0" w:line="240" w:lineRule="auto"/>
              <w:jc w:val="center"/>
              <w:rPr>
                <w:rFonts w:ascii="Aptos Narrow" w:eastAsia="Times New Roman" w:hAnsi="Aptos Narrow" w:cs="Times New Roman"/>
                <w:b/>
                <w:bCs/>
                <w:color w:val="000000"/>
                <w:sz w:val="20"/>
                <w:szCs w:val="20"/>
                <w:lang w:eastAsia="en-US"/>
              </w:rPr>
            </w:pPr>
            <w:r>
              <w:rPr>
                <w:rFonts w:ascii="Aptos Narrow" w:eastAsia="Times New Roman" w:hAnsi="Aptos Narrow" w:cs="Times New Roman"/>
                <w:b/>
                <w:bCs/>
                <w:color w:val="000000"/>
                <w:sz w:val="20"/>
                <w:szCs w:val="20"/>
                <w:lang w:eastAsia="en-US"/>
              </w:rPr>
              <w:t>Timeline</w:t>
            </w:r>
          </w:p>
        </w:tc>
      </w:tr>
      <w:tr w:rsidR="00B45F7D" w:rsidRPr="00603088" w14:paraId="59C18AEE" w14:textId="77777777" w:rsidTr="00A13F34">
        <w:trPr>
          <w:gridAfter w:val="1"/>
          <w:wAfter w:w="804" w:type="dxa"/>
          <w:trHeight w:val="300"/>
        </w:trPr>
        <w:tc>
          <w:tcPr>
            <w:tcW w:w="3281" w:type="dxa"/>
            <w:vMerge/>
            <w:tcBorders>
              <w:left w:val="single" w:sz="4" w:space="0" w:color="auto"/>
              <w:bottom w:val="single" w:sz="4" w:space="0" w:color="auto"/>
              <w:right w:val="single" w:sz="4" w:space="0" w:color="auto"/>
            </w:tcBorders>
            <w:noWrap/>
            <w:vAlign w:val="bottom"/>
          </w:tcPr>
          <w:p w14:paraId="5BD2DA50" w14:textId="77777777" w:rsidR="00B45F7D" w:rsidRPr="001E6EF1" w:rsidRDefault="00B45F7D">
            <w:pPr>
              <w:pStyle w:val="ListParagraph"/>
              <w:spacing w:after="0" w:line="240" w:lineRule="auto"/>
              <w:rPr>
                <w:rFonts w:ascii="Aptos Narrow" w:eastAsia="Times New Roman" w:hAnsi="Aptos Narrow" w:cs="Times New Roman"/>
                <w:color w:val="000000"/>
                <w:sz w:val="20"/>
                <w:szCs w:val="20"/>
                <w:lang w:eastAsia="en-US"/>
              </w:rPr>
            </w:pPr>
          </w:p>
        </w:tc>
        <w:tc>
          <w:tcPr>
            <w:tcW w:w="2744" w:type="dxa"/>
            <w:vMerge/>
            <w:tcBorders>
              <w:left w:val="nil"/>
              <w:bottom w:val="single" w:sz="4" w:space="0" w:color="auto"/>
              <w:right w:val="single" w:sz="4" w:space="0" w:color="auto"/>
            </w:tcBorders>
            <w:noWrap/>
            <w:vAlign w:val="bottom"/>
          </w:tcPr>
          <w:p w14:paraId="430E2227" w14:textId="77777777" w:rsidR="00B45F7D" w:rsidRPr="00603088" w:rsidRDefault="00B45F7D">
            <w:pPr>
              <w:spacing w:after="0" w:line="240" w:lineRule="auto"/>
              <w:rPr>
                <w:rFonts w:ascii="Aptos Narrow" w:eastAsia="Times New Roman" w:hAnsi="Aptos Narrow" w:cs="Times New Roman"/>
                <w:color w:val="000000"/>
                <w:sz w:val="20"/>
                <w:szCs w:val="20"/>
                <w:lang w:eastAsia="en-US"/>
              </w:rPr>
            </w:pPr>
          </w:p>
        </w:tc>
        <w:tc>
          <w:tcPr>
            <w:tcW w:w="736" w:type="dxa"/>
            <w:tcBorders>
              <w:top w:val="single" w:sz="4" w:space="0" w:color="auto"/>
              <w:left w:val="nil"/>
              <w:bottom w:val="single" w:sz="4" w:space="0" w:color="auto"/>
              <w:right w:val="single" w:sz="4" w:space="0" w:color="auto"/>
            </w:tcBorders>
            <w:noWrap/>
            <w:vAlign w:val="bottom"/>
          </w:tcPr>
          <w:p w14:paraId="10410C03" w14:textId="77777777" w:rsidR="00B45F7D" w:rsidRPr="002F14BF" w:rsidRDefault="00B45F7D">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1</w:t>
            </w:r>
          </w:p>
        </w:tc>
        <w:tc>
          <w:tcPr>
            <w:tcW w:w="804" w:type="dxa"/>
            <w:tcBorders>
              <w:top w:val="single" w:sz="4" w:space="0" w:color="auto"/>
              <w:left w:val="nil"/>
              <w:bottom w:val="single" w:sz="4" w:space="0" w:color="auto"/>
              <w:right w:val="single" w:sz="4" w:space="0" w:color="auto"/>
            </w:tcBorders>
            <w:noWrap/>
            <w:vAlign w:val="bottom"/>
          </w:tcPr>
          <w:p w14:paraId="2A767A66" w14:textId="77777777" w:rsidR="00B45F7D" w:rsidRPr="002F14BF" w:rsidRDefault="00B45F7D">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2</w:t>
            </w:r>
          </w:p>
        </w:tc>
        <w:tc>
          <w:tcPr>
            <w:tcW w:w="804" w:type="dxa"/>
            <w:tcBorders>
              <w:top w:val="single" w:sz="4" w:space="0" w:color="auto"/>
              <w:left w:val="nil"/>
              <w:bottom w:val="single" w:sz="4" w:space="0" w:color="auto"/>
              <w:right w:val="single" w:sz="4" w:space="0" w:color="auto"/>
            </w:tcBorders>
            <w:noWrap/>
            <w:vAlign w:val="bottom"/>
          </w:tcPr>
          <w:p w14:paraId="1E427472" w14:textId="77777777" w:rsidR="00B45F7D" w:rsidRPr="002F14BF" w:rsidRDefault="00B45F7D">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3</w:t>
            </w:r>
          </w:p>
        </w:tc>
        <w:tc>
          <w:tcPr>
            <w:tcW w:w="804" w:type="dxa"/>
            <w:tcBorders>
              <w:top w:val="single" w:sz="4" w:space="0" w:color="auto"/>
              <w:left w:val="nil"/>
              <w:bottom w:val="single" w:sz="4" w:space="0" w:color="auto"/>
              <w:right w:val="single" w:sz="4" w:space="0" w:color="auto"/>
            </w:tcBorders>
            <w:noWrap/>
            <w:vAlign w:val="bottom"/>
          </w:tcPr>
          <w:p w14:paraId="767A07A3" w14:textId="77777777" w:rsidR="00B45F7D" w:rsidRPr="002F14BF" w:rsidRDefault="00B45F7D">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4</w:t>
            </w:r>
          </w:p>
        </w:tc>
        <w:tc>
          <w:tcPr>
            <w:tcW w:w="804" w:type="dxa"/>
            <w:gridSpan w:val="2"/>
            <w:tcBorders>
              <w:top w:val="single" w:sz="4" w:space="0" w:color="auto"/>
              <w:left w:val="nil"/>
              <w:bottom w:val="single" w:sz="4" w:space="0" w:color="auto"/>
              <w:right w:val="single" w:sz="4" w:space="0" w:color="auto"/>
            </w:tcBorders>
            <w:noWrap/>
            <w:vAlign w:val="bottom"/>
          </w:tcPr>
          <w:p w14:paraId="4283EA55" w14:textId="77777777" w:rsidR="00B45F7D" w:rsidRPr="002F14BF" w:rsidRDefault="00B45F7D">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5</w:t>
            </w:r>
          </w:p>
        </w:tc>
      </w:tr>
      <w:tr w:rsidR="00B45F7D" w:rsidRPr="00603088" w14:paraId="5710A6B3" w14:textId="77777777" w:rsidTr="007A2A92">
        <w:trPr>
          <w:gridAfter w:val="1"/>
          <w:wAfter w:w="804" w:type="dxa"/>
          <w:trHeight w:val="300"/>
        </w:trPr>
        <w:tc>
          <w:tcPr>
            <w:tcW w:w="3281" w:type="dxa"/>
            <w:tcBorders>
              <w:top w:val="single" w:sz="4" w:space="0" w:color="auto"/>
              <w:left w:val="single" w:sz="4" w:space="0" w:color="auto"/>
              <w:bottom w:val="single" w:sz="4" w:space="0" w:color="auto"/>
              <w:right w:val="single" w:sz="4" w:space="0" w:color="auto"/>
            </w:tcBorders>
            <w:noWrap/>
            <w:vAlign w:val="center"/>
          </w:tcPr>
          <w:p w14:paraId="70FBB44F" w14:textId="23D3BA1E" w:rsidR="00B45F7D" w:rsidRPr="00B77CC1" w:rsidRDefault="00B45F7D">
            <w:pPr>
              <w:rPr>
                <w:sz w:val="22"/>
                <w:szCs w:val="22"/>
              </w:rPr>
            </w:pPr>
            <w:r w:rsidRPr="00B77CC1">
              <w:rPr>
                <w:sz w:val="22"/>
                <w:szCs w:val="22"/>
              </w:rPr>
              <w:t>1. Statewide</w:t>
            </w:r>
            <w:r w:rsidR="006700AC">
              <w:rPr>
                <w:sz w:val="22"/>
                <w:szCs w:val="22"/>
              </w:rPr>
              <w:t xml:space="preserve"> Baseline</w:t>
            </w:r>
            <w:r w:rsidRPr="00B77CC1">
              <w:rPr>
                <w:sz w:val="22"/>
                <w:szCs w:val="22"/>
              </w:rPr>
              <w:t xml:space="preserve"> Lidar Completion</w:t>
            </w:r>
          </w:p>
        </w:tc>
        <w:tc>
          <w:tcPr>
            <w:tcW w:w="2744" w:type="dxa"/>
            <w:tcBorders>
              <w:top w:val="single" w:sz="4" w:space="0" w:color="auto"/>
              <w:left w:val="nil"/>
              <w:bottom w:val="single" w:sz="4" w:space="0" w:color="auto"/>
              <w:right w:val="single" w:sz="4" w:space="0" w:color="auto"/>
            </w:tcBorders>
            <w:noWrap/>
            <w:vAlign w:val="bottom"/>
          </w:tcPr>
          <w:p w14:paraId="03413177" w14:textId="77777777" w:rsidR="00B45F7D" w:rsidRPr="002F14BF" w:rsidRDefault="00B45F7D">
            <w:pPr>
              <w:spacing w:after="0" w:line="240" w:lineRule="auto"/>
              <w:rPr>
                <w:rFonts w:ascii="Aptos Narrow" w:eastAsia="Times New Roman" w:hAnsi="Aptos Narrow" w:cs="Times New Roman"/>
                <w:sz w:val="20"/>
                <w:szCs w:val="20"/>
                <w:lang w:eastAsia="en-US"/>
              </w:rPr>
            </w:pPr>
            <w:r w:rsidRPr="00B77CC1">
              <w:rPr>
                <w:sz w:val="22"/>
                <w:szCs w:val="22"/>
              </w:rPr>
              <w:t>• Finalize remaining 10% of lidar acquisition</w:t>
            </w:r>
            <w:r w:rsidRPr="00B77CC1">
              <w:rPr>
                <w:sz w:val="22"/>
                <w:szCs w:val="22"/>
              </w:rPr>
              <w:br/>
              <w:t xml:space="preserve">• Produce statewide core raster products (DTM, DSM, intensity, </w:t>
            </w:r>
            <w:proofErr w:type="spellStart"/>
            <w:r w:rsidRPr="00B77CC1">
              <w:rPr>
                <w:sz w:val="22"/>
                <w:szCs w:val="22"/>
              </w:rPr>
              <w:t>hillshade</w:t>
            </w:r>
            <w:proofErr w:type="spellEnd"/>
            <w:r w:rsidRPr="00B77CC1">
              <w:rPr>
                <w:sz w:val="22"/>
                <w:szCs w:val="22"/>
              </w:rPr>
              <w:t>, canopy height)</w:t>
            </w:r>
            <w:r w:rsidRPr="00B77CC1">
              <w:rPr>
                <w:sz w:val="22"/>
                <w:szCs w:val="22"/>
              </w:rPr>
              <w:br/>
              <w:t>• Explore seamless statewide services once complete</w:t>
            </w:r>
          </w:p>
        </w:tc>
        <w:tc>
          <w:tcPr>
            <w:tcW w:w="736" w:type="dxa"/>
            <w:tcBorders>
              <w:top w:val="single" w:sz="4" w:space="0" w:color="auto"/>
              <w:left w:val="nil"/>
              <w:bottom w:val="single" w:sz="4" w:space="0" w:color="auto"/>
              <w:right w:val="single" w:sz="4" w:space="0" w:color="auto"/>
            </w:tcBorders>
            <w:shd w:val="clear" w:color="auto" w:fill="A5C9EB" w:themeFill="text2" w:themeFillTint="40"/>
            <w:noWrap/>
            <w:vAlign w:val="bottom"/>
          </w:tcPr>
          <w:p w14:paraId="771351F5" w14:textId="12E293C0"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single" w:sz="4" w:space="0" w:color="auto"/>
              <w:left w:val="nil"/>
              <w:bottom w:val="single" w:sz="4" w:space="0" w:color="auto"/>
              <w:right w:val="single" w:sz="4" w:space="0" w:color="auto"/>
            </w:tcBorders>
            <w:shd w:val="clear" w:color="auto" w:fill="A5C9EB" w:themeFill="text2" w:themeFillTint="40"/>
            <w:noWrap/>
            <w:vAlign w:val="bottom"/>
          </w:tcPr>
          <w:p w14:paraId="3B3C18E5" w14:textId="5F272870" w:rsidR="00B45F7D" w:rsidRPr="002F14BF" w:rsidRDefault="007A2A9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single" w:sz="4" w:space="0" w:color="auto"/>
              <w:left w:val="nil"/>
              <w:bottom w:val="single" w:sz="4" w:space="0" w:color="auto"/>
              <w:right w:val="single" w:sz="4" w:space="0" w:color="auto"/>
            </w:tcBorders>
            <w:noWrap/>
            <w:vAlign w:val="bottom"/>
          </w:tcPr>
          <w:p w14:paraId="0B93E189" w14:textId="53F7BF8C"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single" w:sz="4" w:space="0" w:color="auto"/>
              <w:left w:val="nil"/>
              <w:bottom w:val="single" w:sz="4" w:space="0" w:color="auto"/>
              <w:right w:val="single" w:sz="4" w:space="0" w:color="auto"/>
            </w:tcBorders>
            <w:noWrap/>
            <w:vAlign w:val="bottom"/>
          </w:tcPr>
          <w:p w14:paraId="433FFE2A" w14:textId="627C3693"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gridSpan w:val="2"/>
            <w:tcBorders>
              <w:top w:val="single" w:sz="4" w:space="0" w:color="auto"/>
              <w:left w:val="nil"/>
              <w:bottom w:val="single" w:sz="4" w:space="0" w:color="auto"/>
              <w:right w:val="single" w:sz="4" w:space="0" w:color="auto"/>
            </w:tcBorders>
            <w:noWrap/>
            <w:vAlign w:val="bottom"/>
          </w:tcPr>
          <w:p w14:paraId="09067058" w14:textId="524681A3"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B45F7D" w:rsidRPr="00603088" w14:paraId="31CA20E7" w14:textId="77777777" w:rsidTr="00A13F34">
        <w:trPr>
          <w:gridAfter w:val="1"/>
          <w:wAfter w:w="804" w:type="dxa"/>
          <w:trHeight w:val="300"/>
        </w:trPr>
        <w:tc>
          <w:tcPr>
            <w:tcW w:w="3281" w:type="dxa"/>
            <w:tcBorders>
              <w:top w:val="single" w:sz="4" w:space="0" w:color="auto"/>
              <w:left w:val="single" w:sz="4" w:space="0" w:color="auto"/>
              <w:bottom w:val="single" w:sz="4" w:space="0" w:color="auto"/>
              <w:right w:val="single" w:sz="4" w:space="0" w:color="auto"/>
            </w:tcBorders>
            <w:noWrap/>
            <w:vAlign w:val="center"/>
          </w:tcPr>
          <w:p w14:paraId="34D80CDA" w14:textId="77777777" w:rsidR="00B45F7D" w:rsidRPr="00B77CC1" w:rsidRDefault="00B45F7D">
            <w:pPr>
              <w:rPr>
                <w:sz w:val="22"/>
                <w:szCs w:val="22"/>
              </w:rPr>
            </w:pPr>
            <w:r w:rsidRPr="00B77CC1">
              <w:rPr>
                <w:sz w:val="22"/>
                <w:szCs w:val="22"/>
              </w:rPr>
              <w:t>2. Stable Public Web Services</w:t>
            </w:r>
          </w:p>
        </w:tc>
        <w:tc>
          <w:tcPr>
            <w:tcW w:w="2744" w:type="dxa"/>
            <w:tcBorders>
              <w:top w:val="single" w:sz="4" w:space="0" w:color="auto"/>
              <w:left w:val="nil"/>
              <w:bottom w:val="single" w:sz="4" w:space="0" w:color="auto"/>
              <w:right w:val="single" w:sz="4" w:space="0" w:color="auto"/>
            </w:tcBorders>
            <w:noWrap/>
            <w:vAlign w:val="bottom"/>
          </w:tcPr>
          <w:p w14:paraId="5F71C948" w14:textId="77777777" w:rsidR="00B45F7D" w:rsidRPr="002F14BF" w:rsidRDefault="00B45F7D">
            <w:pPr>
              <w:spacing w:after="0" w:line="240" w:lineRule="auto"/>
              <w:rPr>
                <w:rFonts w:ascii="Aptos Narrow" w:eastAsia="Times New Roman" w:hAnsi="Aptos Narrow" w:cs="Times New Roman"/>
                <w:sz w:val="20"/>
                <w:szCs w:val="20"/>
                <w:lang w:eastAsia="en-US"/>
              </w:rPr>
            </w:pPr>
            <w:r w:rsidRPr="00B77CC1">
              <w:rPr>
                <w:sz w:val="22"/>
                <w:szCs w:val="22"/>
              </w:rPr>
              <w:t>• Transition elevation services to cloud hosting</w:t>
            </w:r>
            <w:r w:rsidRPr="00B77CC1">
              <w:rPr>
                <w:sz w:val="22"/>
                <w:szCs w:val="22"/>
              </w:rPr>
              <w:br/>
              <w:t>• Stabilize update cycles and reduce outages</w:t>
            </w:r>
            <w:r w:rsidRPr="00B77CC1">
              <w:rPr>
                <w:sz w:val="22"/>
                <w:szCs w:val="22"/>
              </w:rPr>
              <w:br/>
              <w:t>• Broaden access once statewide lidar is complete</w:t>
            </w:r>
          </w:p>
        </w:tc>
        <w:tc>
          <w:tcPr>
            <w:tcW w:w="736" w:type="dxa"/>
            <w:tcBorders>
              <w:top w:val="single" w:sz="4" w:space="0" w:color="auto"/>
              <w:left w:val="nil"/>
              <w:bottom w:val="single" w:sz="4" w:space="0" w:color="auto"/>
              <w:right w:val="single" w:sz="4" w:space="0" w:color="auto"/>
            </w:tcBorders>
            <w:shd w:val="clear" w:color="auto" w:fill="A5C9EB" w:themeFill="text2" w:themeFillTint="40"/>
            <w:noWrap/>
            <w:vAlign w:val="bottom"/>
          </w:tcPr>
          <w:p w14:paraId="2B43B0F0" w14:textId="5C13EC20"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single" w:sz="4" w:space="0" w:color="auto"/>
              <w:left w:val="nil"/>
              <w:bottom w:val="single" w:sz="4" w:space="0" w:color="auto"/>
              <w:right w:val="single" w:sz="4" w:space="0" w:color="auto"/>
            </w:tcBorders>
            <w:shd w:val="clear" w:color="auto" w:fill="A5C9EB" w:themeFill="text2" w:themeFillTint="40"/>
            <w:noWrap/>
            <w:vAlign w:val="bottom"/>
          </w:tcPr>
          <w:p w14:paraId="5EE7C299" w14:textId="5BE021C0"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single" w:sz="4" w:space="0" w:color="auto"/>
              <w:left w:val="nil"/>
              <w:bottom w:val="single" w:sz="4" w:space="0" w:color="auto"/>
              <w:right w:val="single" w:sz="4" w:space="0" w:color="auto"/>
            </w:tcBorders>
            <w:shd w:val="clear" w:color="auto" w:fill="A5C9EB" w:themeFill="text2" w:themeFillTint="40"/>
            <w:noWrap/>
            <w:vAlign w:val="bottom"/>
          </w:tcPr>
          <w:p w14:paraId="7C21587F" w14:textId="6471D926"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single" w:sz="4" w:space="0" w:color="auto"/>
              <w:left w:val="nil"/>
              <w:bottom w:val="single" w:sz="4" w:space="0" w:color="auto"/>
              <w:right w:val="single" w:sz="4" w:space="0" w:color="auto"/>
            </w:tcBorders>
            <w:noWrap/>
            <w:vAlign w:val="bottom"/>
          </w:tcPr>
          <w:p w14:paraId="264CF613" w14:textId="75E83B0E"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gridSpan w:val="2"/>
            <w:tcBorders>
              <w:top w:val="single" w:sz="4" w:space="0" w:color="auto"/>
              <w:left w:val="nil"/>
              <w:bottom w:val="single" w:sz="4" w:space="0" w:color="auto"/>
              <w:right w:val="single" w:sz="4" w:space="0" w:color="auto"/>
            </w:tcBorders>
            <w:noWrap/>
            <w:vAlign w:val="bottom"/>
          </w:tcPr>
          <w:p w14:paraId="71890D24" w14:textId="692E770D"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B45F7D" w:rsidRPr="00603088" w14:paraId="718F5479" w14:textId="77777777" w:rsidTr="00A13F34">
        <w:trPr>
          <w:gridAfter w:val="1"/>
          <w:wAfter w:w="804" w:type="dxa"/>
          <w:trHeight w:val="300"/>
        </w:trPr>
        <w:tc>
          <w:tcPr>
            <w:tcW w:w="3281" w:type="dxa"/>
            <w:tcBorders>
              <w:top w:val="nil"/>
              <w:left w:val="single" w:sz="4" w:space="0" w:color="auto"/>
              <w:bottom w:val="single" w:sz="4" w:space="0" w:color="auto"/>
              <w:right w:val="single" w:sz="4" w:space="0" w:color="auto"/>
            </w:tcBorders>
            <w:noWrap/>
            <w:vAlign w:val="center"/>
          </w:tcPr>
          <w:p w14:paraId="325D1D74" w14:textId="77777777" w:rsidR="00B45F7D" w:rsidRPr="00B77CC1" w:rsidRDefault="00B45F7D">
            <w:pPr>
              <w:rPr>
                <w:sz w:val="22"/>
                <w:szCs w:val="22"/>
              </w:rPr>
            </w:pPr>
            <w:r w:rsidRPr="00B77CC1">
              <w:rPr>
                <w:sz w:val="22"/>
                <w:szCs w:val="22"/>
              </w:rPr>
              <w:t>3. Maintain &amp; Expand Lidar Inventory</w:t>
            </w:r>
          </w:p>
        </w:tc>
        <w:tc>
          <w:tcPr>
            <w:tcW w:w="2744" w:type="dxa"/>
            <w:tcBorders>
              <w:top w:val="nil"/>
              <w:left w:val="nil"/>
              <w:bottom w:val="single" w:sz="4" w:space="0" w:color="auto"/>
              <w:right w:val="single" w:sz="4" w:space="0" w:color="auto"/>
            </w:tcBorders>
            <w:noWrap/>
            <w:vAlign w:val="bottom"/>
          </w:tcPr>
          <w:p w14:paraId="393FB552" w14:textId="6A711729" w:rsidR="00B45F7D" w:rsidRPr="002F14BF" w:rsidRDefault="00B45F7D">
            <w:pPr>
              <w:spacing w:after="0" w:line="240" w:lineRule="auto"/>
              <w:rPr>
                <w:rFonts w:ascii="Aptos Narrow" w:eastAsia="Times New Roman" w:hAnsi="Aptos Narrow" w:cs="Times New Roman"/>
                <w:sz w:val="20"/>
                <w:szCs w:val="20"/>
                <w:lang w:eastAsia="en-US"/>
              </w:rPr>
            </w:pPr>
            <w:r w:rsidRPr="00B77CC1">
              <w:rPr>
                <w:sz w:val="22"/>
                <w:szCs w:val="22"/>
              </w:rPr>
              <w:t>• Add new USGS, UAV, and state-led lidar projects annually</w:t>
            </w:r>
            <w:r w:rsidR="00AD7B2C">
              <w:rPr>
                <w:sz w:val="22"/>
                <w:szCs w:val="22"/>
              </w:rPr>
              <w:t xml:space="preserve"> -m</w:t>
            </w:r>
            <w:r w:rsidRPr="00B77CC1">
              <w:rPr>
                <w:sz w:val="22"/>
                <w:szCs w:val="22"/>
              </w:rPr>
              <w:t>aintain AOI footprints with basic metadata</w:t>
            </w:r>
            <w:r w:rsidRPr="00B77CC1">
              <w:rPr>
                <w:sz w:val="22"/>
                <w:szCs w:val="22"/>
              </w:rPr>
              <w:br/>
              <w:t>• Compare Montana Lidar Inventory to USIEI annuall</w:t>
            </w:r>
            <w:r>
              <w:rPr>
                <w:sz w:val="22"/>
                <w:szCs w:val="22"/>
              </w:rPr>
              <w:t>y</w:t>
            </w:r>
          </w:p>
        </w:tc>
        <w:tc>
          <w:tcPr>
            <w:tcW w:w="736" w:type="dxa"/>
            <w:tcBorders>
              <w:top w:val="nil"/>
              <w:left w:val="nil"/>
              <w:bottom w:val="single" w:sz="4" w:space="0" w:color="auto"/>
              <w:right w:val="single" w:sz="4" w:space="0" w:color="auto"/>
            </w:tcBorders>
            <w:shd w:val="clear" w:color="auto" w:fill="A5C9EB" w:themeFill="text2" w:themeFillTint="40"/>
            <w:noWrap/>
            <w:vAlign w:val="bottom"/>
          </w:tcPr>
          <w:p w14:paraId="5C1BDDE2" w14:textId="0888CD27"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341C11CD" w14:textId="57E138A1"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33E3B220" w14:textId="03E53CC7"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4135487F" w14:textId="5C2C6702"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shd w:val="clear" w:color="auto" w:fill="A5C9EB" w:themeFill="text2" w:themeFillTint="40"/>
            <w:noWrap/>
            <w:vAlign w:val="bottom"/>
          </w:tcPr>
          <w:p w14:paraId="342B05EE" w14:textId="668B8A45"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r>
      <w:tr w:rsidR="00B45F7D" w:rsidRPr="00603088" w14:paraId="3304423B" w14:textId="77777777" w:rsidTr="00A13F34">
        <w:trPr>
          <w:gridAfter w:val="1"/>
          <w:wAfter w:w="804" w:type="dxa"/>
          <w:trHeight w:val="300"/>
        </w:trPr>
        <w:tc>
          <w:tcPr>
            <w:tcW w:w="3281" w:type="dxa"/>
            <w:tcBorders>
              <w:top w:val="nil"/>
              <w:left w:val="single" w:sz="4" w:space="0" w:color="auto"/>
              <w:bottom w:val="single" w:sz="4" w:space="0" w:color="auto"/>
              <w:right w:val="single" w:sz="4" w:space="0" w:color="auto"/>
            </w:tcBorders>
            <w:noWrap/>
            <w:vAlign w:val="center"/>
          </w:tcPr>
          <w:p w14:paraId="22A89E12" w14:textId="26310DA7" w:rsidR="00B45F7D" w:rsidRPr="00B77CC1" w:rsidRDefault="00B45F7D">
            <w:pPr>
              <w:rPr>
                <w:sz w:val="22"/>
                <w:szCs w:val="22"/>
              </w:rPr>
            </w:pPr>
            <w:r w:rsidRPr="00B77CC1">
              <w:rPr>
                <w:sz w:val="22"/>
                <w:szCs w:val="22"/>
              </w:rPr>
              <w:t>4. Tribal Data Support</w:t>
            </w:r>
          </w:p>
        </w:tc>
        <w:tc>
          <w:tcPr>
            <w:tcW w:w="2744" w:type="dxa"/>
            <w:tcBorders>
              <w:top w:val="nil"/>
              <w:left w:val="nil"/>
              <w:bottom w:val="single" w:sz="4" w:space="0" w:color="auto"/>
              <w:right w:val="single" w:sz="4" w:space="0" w:color="auto"/>
            </w:tcBorders>
            <w:noWrap/>
            <w:vAlign w:val="bottom"/>
          </w:tcPr>
          <w:p w14:paraId="39C4D29C" w14:textId="6E9207E9" w:rsidR="00B45F7D" w:rsidRPr="002F14BF" w:rsidRDefault="00B45F7D">
            <w:pPr>
              <w:spacing w:after="0" w:line="240" w:lineRule="auto"/>
              <w:rPr>
                <w:rFonts w:ascii="Aptos Narrow" w:eastAsia="Times New Roman" w:hAnsi="Aptos Narrow" w:cs="Times New Roman"/>
                <w:sz w:val="20"/>
                <w:szCs w:val="20"/>
                <w:lang w:eastAsia="en-US"/>
              </w:rPr>
            </w:pPr>
            <w:r w:rsidRPr="00B77CC1">
              <w:rPr>
                <w:sz w:val="22"/>
                <w:szCs w:val="22"/>
              </w:rPr>
              <w:t>• Engage Tribes and Office of Indian Affairs to understand concerns</w:t>
            </w:r>
            <w:r w:rsidRPr="00B77CC1">
              <w:rPr>
                <w:sz w:val="22"/>
                <w:szCs w:val="22"/>
              </w:rPr>
              <w:br/>
              <w:t>• Explore coarser products or controlled access alternatives</w:t>
            </w:r>
            <w:r w:rsidRPr="00B77CC1">
              <w:rPr>
                <w:sz w:val="22"/>
                <w:szCs w:val="22"/>
              </w:rPr>
              <w:br/>
              <w:t xml:space="preserve">• </w:t>
            </w:r>
            <w:r w:rsidR="000563D1">
              <w:rPr>
                <w:sz w:val="22"/>
                <w:szCs w:val="22"/>
              </w:rPr>
              <w:t>Continued</w:t>
            </w:r>
            <w:r w:rsidRPr="00B77CC1">
              <w:rPr>
                <w:sz w:val="22"/>
                <w:szCs w:val="22"/>
              </w:rPr>
              <w:t xml:space="preserve"> training and </w:t>
            </w:r>
            <w:r w:rsidR="00211D50">
              <w:rPr>
                <w:sz w:val="22"/>
                <w:szCs w:val="22"/>
              </w:rPr>
              <w:t xml:space="preserve">technical </w:t>
            </w:r>
            <w:r w:rsidRPr="00B77CC1">
              <w:rPr>
                <w:sz w:val="22"/>
                <w:szCs w:val="22"/>
              </w:rPr>
              <w:t>assistance</w:t>
            </w:r>
          </w:p>
        </w:tc>
        <w:tc>
          <w:tcPr>
            <w:tcW w:w="736" w:type="dxa"/>
            <w:tcBorders>
              <w:top w:val="nil"/>
              <w:left w:val="nil"/>
              <w:bottom w:val="single" w:sz="4" w:space="0" w:color="auto"/>
              <w:right w:val="single" w:sz="4" w:space="0" w:color="auto"/>
            </w:tcBorders>
            <w:shd w:val="clear" w:color="auto" w:fill="A5C9EB" w:themeFill="text2" w:themeFillTint="40"/>
            <w:noWrap/>
            <w:vAlign w:val="bottom"/>
          </w:tcPr>
          <w:p w14:paraId="4ED07BBE" w14:textId="6746653D"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2F281665" w14:textId="20D65631"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2FEFE986" w14:textId="1A89BD50"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21DE8270" w14:textId="28ED3D87"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shd w:val="clear" w:color="auto" w:fill="A5C9EB" w:themeFill="text2" w:themeFillTint="40"/>
            <w:noWrap/>
            <w:vAlign w:val="bottom"/>
          </w:tcPr>
          <w:p w14:paraId="703EC479" w14:textId="28792FCC"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r>
      <w:tr w:rsidR="00B45F7D" w:rsidRPr="00603088" w14:paraId="124172EA" w14:textId="77777777" w:rsidTr="00A13F34">
        <w:trPr>
          <w:gridAfter w:val="1"/>
          <w:wAfter w:w="804" w:type="dxa"/>
          <w:trHeight w:val="300"/>
        </w:trPr>
        <w:tc>
          <w:tcPr>
            <w:tcW w:w="3281" w:type="dxa"/>
            <w:tcBorders>
              <w:top w:val="nil"/>
              <w:left w:val="single" w:sz="4" w:space="0" w:color="auto"/>
              <w:bottom w:val="single" w:sz="4" w:space="0" w:color="auto"/>
              <w:right w:val="single" w:sz="4" w:space="0" w:color="auto"/>
            </w:tcBorders>
            <w:noWrap/>
            <w:vAlign w:val="center"/>
          </w:tcPr>
          <w:p w14:paraId="456D970B" w14:textId="77777777" w:rsidR="00B45F7D" w:rsidRPr="00B77CC1" w:rsidRDefault="00B45F7D">
            <w:pPr>
              <w:rPr>
                <w:sz w:val="22"/>
                <w:szCs w:val="22"/>
              </w:rPr>
            </w:pPr>
            <w:r w:rsidRPr="00B77CC1">
              <w:rPr>
                <w:sz w:val="22"/>
                <w:szCs w:val="22"/>
              </w:rPr>
              <w:t>5. Expand Self</w:t>
            </w:r>
            <w:r w:rsidRPr="00B77CC1">
              <w:rPr>
                <w:sz w:val="22"/>
                <w:szCs w:val="22"/>
              </w:rPr>
              <w:noBreakHyphen/>
              <w:t>Help Access</w:t>
            </w:r>
          </w:p>
        </w:tc>
        <w:tc>
          <w:tcPr>
            <w:tcW w:w="2744" w:type="dxa"/>
            <w:tcBorders>
              <w:top w:val="nil"/>
              <w:left w:val="nil"/>
              <w:bottom w:val="single" w:sz="4" w:space="0" w:color="auto"/>
              <w:right w:val="single" w:sz="4" w:space="0" w:color="auto"/>
            </w:tcBorders>
            <w:noWrap/>
            <w:vAlign w:val="bottom"/>
          </w:tcPr>
          <w:p w14:paraId="18485106" w14:textId="0DBBA4AB" w:rsidR="00B45F7D" w:rsidRPr="002F14BF" w:rsidRDefault="00B45F7D">
            <w:pPr>
              <w:spacing w:after="0" w:line="240" w:lineRule="auto"/>
              <w:rPr>
                <w:rFonts w:ascii="Aptos Narrow" w:eastAsia="Times New Roman" w:hAnsi="Aptos Narrow" w:cs="Times New Roman"/>
                <w:sz w:val="20"/>
                <w:szCs w:val="20"/>
                <w:lang w:eastAsia="en-US"/>
              </w:rPr>
            </w:pPr>
            <w:r w:rsidRPr="00B77CC1">
              <w:rPr>
                <w:sz w:val="22"/>
                <w:szCs w:val="22"/>
              </w:rPr>
              <w:t>• Add more downloadable content (LAZ, contours, older projects)</w:t>
            </w:r>
            <w:r w:rsidRPr="00B77CC1">
              <w:rPr>
                <w:sz w:val="22"/>
                <w:szCs w:val="22"/>
              </w:rPr>
              <w:br/>
              <w:t xml:space="preserve">• Improve online viewer, </w:t>
            </w:r>
            <w:r w:rsidRPr="00B77CC1">
              <w:rPr>
                <w:sz w:val="22"/>
                <w:szCs w:val="22"/>
              </w:rPr>
              <w:lastRenderedPageBreak/>
              <w:t>raster templates, and</w:t>
            </w:r>
            <w:r w:rsidR="00AD7B2C">
              <w:rPr>
                <w:sz w:val="22"/>
                <w:szCs w:val="22"/>
              </w:rPr>
              <w:t xml:space="preserve"> explore</w:t>
            </w:r>
            <w:r w:rsidRPr="00B77CC1">
              <w:rPr>
                <w:sz w:val="22"/>
                <w:szCs w:val="22"/>
              </w:rPr>
              <w:t xml:space="preserve"> geoprocessing options</w:t>
            </w:r>
            <w:r w:rsidRPr="00B77CC1">
              <w:rPr>
                <w:sz w:val="22"/>
                <w:szCs w:val="22"/>
              </w:rPr>
              <w:br/>
              <w:t>• Analyze request logs to focus improvements</w:t>
            </w:r>
          </w:p>
        </w:tc>
        <w:tc>
          <w:tcPr>
            <w:tcW w:w="736" w:type="dxa"/>
            <w:tcBorders>
              <w:top w:val="nil"/>
              <w:left w:val="nil"/>
              <w:bottom w:val="single" w:sz="4" w:space="0" w:color="auto"/>
              <w:right w:val="single" w:sz="4" w:space="0" w:color="auto"/>
            </w:tcBorders>
            <w:shd w:val="clear" w:color="auto" w:fill="A5C9EB" w:themeFill="text2" w:themeFillTint="40"/>
            <w:noWrap/>
            <w:vAlign w:val="bottom"/>
          </w:tcPr>
          <w:p w14:paraId="2959065C" w14:textId="49950286"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lastRenderedPageBreak/>
              <w:t xml:space="preserve">X </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5755AD38" w14:textId="4E83776A"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0CE32739" w14:textId="77777777" w:rsidR="00B45F7D" w:rsidRPr="002F14BF" w:rsidRDefault="00B45F7D" w:rsidP="00143F62">
            <w:pPr>
              <w:spacing w:after="0" w:line="240" w:lineRule="auto"/>
              <w:jc w:val="center"/>
              <w:rPr>
                <w:rFonts w:ascii="Aptos Narrow" w:eastAsia="Times New Roman" w:hAnsi="Aptos Narrow" w:cs="Times New Roman"/>
                <w:sz w:val="20"/>
                <w:szCs w:val="20"/>
                <w:lang w:eastAsia="en-US"/>
              </w:rPr>
            </w:pPr>
          </w:p>
        </w:tc>
        <w:tc>
          <w:tcPr>
            <w:tcW w:w="804" w:type="dxa"/>
            <w:tcBorders>
              <w:top w:val="nil"/>
              <w:left w:val="nil"/>
              <w:bottom w:val="single" w:sz="4" w:space="0" w:color="auto"/>
              <w:right w:val="single" w:sz="4" w:space="0" w:color="auto"/>
            </w:tcBorders>
            <w:noWrap/>
            <w:vAlign w:val="bottom"/>
          </w:tcPr>
          <w:p w14:paraId="01645C13" w14:textId="369A2E60"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gridSpan w:val="2"/>
            <w:tcBorders>
              <w:top w:val="nil"/>
              <w:left w:val="nil"/>
              <w:bottom w:val="single" w:sz="4" w:space="0" w:color="auto"/>
              <w:right w:val="single" w:sz="4" w:space="0" w:color="auto"/>
            </w:tcBorders>
            <w:noWrap/>
            <w:vAlign w:val="bottom"/>
          </w:tcPr>
          <w:p w14:paraId="022CF862" w14:textId="53F1EDFE"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B45F7D" w:rsidRPr="00603088" w14:paraId="1AB3B8D4" w14:textId="77777777" w:rsidTr="00A13F34">
        <w:trPr>
          <w:gridAfter w:val="1"/>
          <w:wAfter w:w="804" w:type="dxa"/>
          <w:trHeight w:val="300"/>
        </w:trPr>
        <w:tc>
          <w:tcPr>
            <w:tcW w:w="3281" w:type="dxa"/>
            <w:tcBorders>
              <w:top w:val="nil"/>
              <w:left w:val="single" w:sz="4" w:space="0" w:color="auto"/>
              <w:bottom w:val="single" w:sz="4" w:space="0" w:color="auto"/>
              <w:right w:val="single" w:sz="4" w:space="0" w:color="auto"/>
            </w:tcBorders>
            <w:noWrap/>
            <w:vAlign w:val="center"/>
          </w:tcPr>
          <w:p w14:paraId="73E23988" w14:textId="77777777" w:rsidR="00B45F7D" w:rsidRPr="00B77CC1" w:rsidRDefault="00B45F7D">
            <w:pPr>
              <w:rPr>
                <w:sz w:val="22"/>
                <w:szCs w:val="22"/>
              </w:rPr>
            </w:pPr>
            <w:r w:rsidRPr="00B77CC1">
              <w:rPr>
                <w:sz w:val="22"/>
                <w:szCs w:val="22"/>
              </w:rPr>
              <w:t>6. Support Business Workflow Integration</w:t>
            </w:r>
          </w:p>
        </w:tc>
        <w:tc>
          <w:tcPr>
            <w:tcW w:w="2744" w:type="dxa"/>
            <w:tcBorders>
              <w:top w:val="nil"/>
              <w:left w:val="nil"/>
              <w:bottom w:val="single" w:sz="4" w:space="0" w:color="auto"/>
              <w:right w:val="single" w:sz="4" w:space="0" w:color="auto"/>
            </w:tcBorders>
            <w:noWrap/>
            <w:vAlign w:val="bottom"/>
          </w:tcPr>
          <w:p w14:paraId="48C602A4" w14:textId="554DE44E" w:rsidR="00B45F7D" w:rsidRPr="002F14BF" w:rsidRDefault="00B45F7D">
            <w:pPr>
              <w:spacing w:after="0" w:line="240" w:lineRule="auto"/>
              <w:rPr>
                <w:rFonts w:ascii="Aptos Narrow" w:eastAsia="Times New Roman" w:hAnsi="Aptos Narrow" w:cs="Times New Roman"/>
                <w:sz w:val="20"/>
                <w:szCs w:val="20"/>
                <w:lang w:eastAsia="en-US"/>
              </w:rPr>
            </w:pPr>
            <w:r w:rsidRPr="00B77CC1">
              <w:rPr>
                <w:sz w:val="22"/>
                <w:szCs w:val="22"/>
              </w:rPr>
              <w:t>• Convert internal processing guide for public use</w:t>
            </w:r>
            <w:r w:rsidRPr="00B77CC1">
              <w:rPr>
                <w:sz w:val="22"/>
                <w:szCs w:val="22"/>
              </w:rPr>
              <w:br/>
              <w:t>• Expand help content (examples, workflow guidance)</w:t>
            </w:r>
            <w:r w:rsidRPr="00B77CC1">
              <w:rPr>
                <w:sz w:val="22"/>
                <w:szCs w:val="22"/>
              </w:rPr>
              <w:br/>
              <w:t xml:space="preserve">• Provide </w:t>
            </w:r>
            <w:r w:rsidR="00AD7B2C" w:rsidRPr="00B77CC1">
              <w:rPr>
                <w:sz w:val="22"/>
                <w:szCs w:val="22"/>
              </w:rPr>
              <w:t>training</w:t>
            </w:r>
            <w:r w:rsidRPr="00B77CC1">
              <w:rPr>
                <w:sz w:val="22"/>
                <w:szCs w:val="22"/>
              </w:rPr>
              <w:t xml:space="preserve"> tied to agency needs</w:t>
            </w:r>
          </w:p>
        </w:tc>
        <w:tc>
          <w:tcPr>
            <w:tcW w:w="736" w:type="dxa"/>
            <w:tcBorders>
              <w:top w:val="nil"/>
              <w:left w:val="nil"/>
              <w:bottom w:val="single" w:sz="4" w:space="0" w:color="auto"/>
              <w:right w:val="single" w:sz="4" w:space="0" w:color="auto"/>
            </w:tcBorders>
            <w:noWrap/>
            <w:vAlign w:val="bottom"/>
          </w:tcPr>
          <w:p w14:paraId="6F6022EB" w14:textId="0344104E"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56288D4D" w14:textId="35D09FA4"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6CC1AD98" w14:textId="6E32BD9C"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5D2D8C44" w14:textId="57AF1A0A"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single" w:sz="4" w:space="0" w:color="auto"/>
              <w:left w:val="nil"/>
              <w:bottom w:val="single" w:sz="4" w:space="0" w:color="auto"/>
              <w:right w:val="single" w:sz="4" w:space="0" w:color="auto"/>
            </w:tcBorders>
            <w:noWrap/>
            <w:vAlign w:val="bottom"/>
          </w:tcPr>
          <w:p w14:paraId="376AE3D8" w14:textId="65322A72"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B45F7D" w:rsidRPr="00603088" w14:paraId="4E2F6364" w14:textId="77777777" w:rsidTr="00A13F34">
        <w:trPr>
          <w:gridAfter w:val="1"/>
          <w:wAfter w:w="804" w:type="dxa"/>
          <w:trHeight w:val="300"/>
        </w:trPr>
        <w:tc>
          <w:tcPr>
            <w:tcW w:w="3281" w:type="dxa"/>
            <w:tcBorders>
              <w:top w:val="nil"/>
              <w:left w:val="single" w:sz="4" w:space="0" w:color="auto"/>
              <w:bottom w:val="single" w:sz="4" w:space="0" w:color="auto"/>
              <w:right w:val="single" w:sz="4" w:space="0" w:color="auto"/>
            </w:tcBorders>
            <w:noWrap/>
            <w:vAlign w:val="center"/>
          </w:tcPr>
          <w:p w14:paraId="7BC64AF1" w14:textId="77777777" w:rsidR="00B45F7D" w:rsidRPr="00EB6EB1" w:rsidRDefault="00B45F7D">
            <w:pPr>
              <w:spacing w:after="0" w:line="240" w:lineRule="auto"/>
              <w:rPr>
                <w:rFonts w:ascii="Aptos Narrow" w:eastAsia="Times New Roman" w:hAnsi="Aptos Narrow" w:cs="Times New Roman"/>
                <w:sz w:val="20"/>
                <w:szCs w:val="20"/>
                <w:lang w:eastAsia="en-US"/>
              </w:rPr>
            </w:pPr>
            <w:r w:rsidRPr="00EB6EB1">
              <w:rPr>
                <w:sz w:val="22"/>
                <w:szCs w:val="22"/>
              </w:rPr>
              <w:t>7. Add State-led FEMA/DNRC Lidar to National Map</w:t>
            </w:r>
          </w:p>
        </w:tc>
        <w:tc>
          <w:tcPr>
            <w:tcW w:w="2744" w:type="dxa"/>
            <w:tcBorders>
              <w:top w:val="nil"/>
              <w:left w:val="nil"/>
              <w:bottom w:val="single" w:sz="4" w:space="0" w:color="auto"/>
              <w:right w:val="single" w:sz="4" w:space="0" w:color="auto"/>
            </w:tcBorders>
            <w:noWrap/>
            <w:vAlign w:val="bottom"/>
          </w:tcPr>
          <w:p w14:paraId="01360D05" w14:textId="4C674DBB" w:rsidR="00B45F7D" w:rsidRPr="002F14BF" w:rsidRDefault="00B45F7D">
            <w:pPr>
              <w:spacing w:after="0" w:line="240" w:lineRule="auto"/>
              <w:rPr>
                <w:rFonts w:ascii="Aptos Narrow" w:eastAsia="Times New Roman" w:hAnsi="Aptos Narrow" w:cs="Times New Roman"/>
                <w:sz w:val="20"/>
                <w:szCs w:val="20"/>
                <w:lang w:eastAsia="en-US"/>
              </w:rPr>
            </w:pPr>
            <w:r w:rsidRPr="00B77CC1">
              <w:rPr>
                <w:sz w:val="22"/>
                <w:szCs w:val="22"/>
              </w:rPr>
              <w:t>• Coordinate corrections requested by USGS</w:t>
            </w:r>
            <w:r w:rsidRPr="00B77CC1">
              <w:rPr>
                <w:sz w:val="22"/>
                <w:szCs w:val="22"/>
              </w:rPr>
              <w:br/>
              <w:t>• Work with contractors and DNRC to finalize changes</w:t>
            </w:r>
            <w:r w:rsidRPr="00B77CC1">
              <w:rPr>
                <w:sz w:val="22"/>
                <w:szCs w:val="22"/>
              </w:rPr>
              <w:br/>
              <w:t xml:space="preserve">• </w:t>
            </w:r>
            <w:r w:rsidR="006700AC">
              <w:rPr>
                <w:sz w:val="22"/>
                <w:szCs w:val="22"/>
              </w:rPr>
              <w:t>Stay informed of USGS</w:t>
            </w:r>
            <w:r w:rsidRPr="00B77CC1">
              <w:rPr>
                <w:sz w:val="22"/>
                <w:szCs w:val="22"/>
              </w:rPr>
              <w:t xml:space="preserve"> National Map acceptance</w:t>
            </w:r>
          </w:p>
        </w:tc>
        <w:tc>
          <w:tcPr>
            <w:tcW w:w="736" w:type="dxa"/>
            <w:tcBorders>
              <w:top w:val="nil"/>
              <w:left w:val="nil"/>
              <w:bottom w:val="single" w:sz="4" w:space="0" w:color="auto"/>
              <w:right w:val="single" w:sz="4" w:space="0" w:color="auto"/>
            </w:tcBorders>
            <w:shd w:val="clear" w:color="auto" w:fill="A5C9EB" w:themeFill="text2" w:themeFillTint="40"/>
            <w:noWrap/>
            <w:vAlign w:val="bottom"/>
          </w:tcPr>
          <w:p w14:paraId="119E29E6" w14:textId="18DEE89A"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7BBA0F0E" w14:textId="77656EBB"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noWrap/>
            <w:vAlign w:val="bottom"/>
          </w:tcPr>
          <w:p w14:paraId="2BE081C3" w14:textId="50933467"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noWrap/>
            <w:vAlign w:val="bottom"/>
          </w:tcPr>
          <w:p w14:paraId="5EDEE6D6" w14:textId="3A4E2DDB"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gridSpan w:val="2"/>
            <w:tcBorders>
              <w:top w:val="single" w:sz="4" w:space="0" w:color="auto"/>
              <w:left w:val="nil"/>
              <w:bottom w:val="single" w:sz="4" w:space="0" w:color="auto"/>
              <w:right w:val="single" w:sz="4" w:space="0" w:color="auto"/>
            </w:tcBorders>
            <w:noWrap/>
            <w:vAlign w:val="bottom"/>
          </w:tcPr>
          <w:p w14:paraId="284A8725" w14:textId="64420D9D"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B45F7D" w:rsidRPr="00603088" w14:paraId="033ABC7C" w14:textId="77777777" w:rsidTr="00A13F34">
        <w:trPr>
          <w:gridAfter w:val="1"/>
          <w:wAfter w:w="804" w:type="dxa"/>
          <w:trHeight w:val="300"/>
        </w:trPr>
        <w:tc>
          <w:tcPr>
            <w:tcW w:w="3281" w:type="dxa"/>
            <w:tcBorders>
              <w:top w:val="nil"/>
              <w:left w:val="single" w:sz="4" w:space="0" w:color="auto"/>
              <w:bottom w:val="single" w:sz="4" w:space="0" w:color="auto"/>
              <w:right w:val="single" w:sz="4" w:space="0" w:color="auto"/>
            </w:tcBorders>
            <w:noWrap/>
            <w:vAlign w:val="center"/>
          </w:tcPr>
          <w:p w14:paraId="0B04E213" w14:textId="77777777" w:rsidR="00B45F7D" w:rsidRPr="00EB6EB1" w:rsidRDefault="00B45F7D">
            <w:pPr>
              <w:rPr>
                <w:sz w:val="22"/>
                <w:szCs w:val="22"/>
              </w:rPr>
            </w:pPr>
            <w:r w:rsidRPr="00B77CC1">
              <w:rPr>
                <w:sz w:val="22"/>
                <w:szCs w:val="22"/>
              </w:rPr>
              <w:t>8. Compare &amp; Align Distribution Platforms</w:t>
            </w:r>
          </w:p>
        </w:tc>
        <w:tc>
          <w:tcPr>
            <w:tcW w:w="2744" w:type="dxa"/>
            <w:tcBorders>
              <w:top w:val="nil"/>
              <w:left w:val="nil"/>
              <w:bottom w:val="single" w:sz="4" w:space="0" w:color="auto"/>
              <w:right w:val="single" w:sz="4" w:space="0" w:color="auto"/>
            </w:tcBorders>
            <w:noWrap/>
            <w:vAlign w:val="bottom"/>
          </w:tcPr>
          <w:p w14:paraId="5561B836" w14:textId="77777777" w:rsidR="00B45F7D" w:rsidRPr="002F14BF" w:rsidRDefault="00B45F7D">
            <w:pPr>
              <w:spacing w:after="0" w:line="240" w:lineRule="auto"/>
              <w:rPr>
                <w:rFonts w:ascii="Aptos Narrow" w:eastAsia="Times New Roman" w:hAnsi="Aptos Narrow" w:cs="Times New Roman"/>
                <w:sz w:val="20"/>
                <w:szCs w:val="20"/>
                <w:lang w:eastAsia="en-US"/>
              </w:rPr>
            </w:pPr>
            <w:r w:rsidRPr="00B77CC1">
              <w:rPr>
                <w:sz w:val="22"/>
                <w:szCs w:val="22"/>
              </w:rPr>
              <w:t>• Identify overlap and gaps with USGS National Map</w:t>
            </w:r>
            <w:r w:rsidRPr="00B77CC1">
              <w:rPr>
                <w:sz w:val="22"/>
                <w:szCs w:val="22"/>
              </w:rPr>
              <w:br/>
              <w:t>• Determine where Montana Inventory should complement vs. link externally</w:t>
            </w:r>
            <w:r w:rsidRPr="00B77CC1">
              <w:rPr>
                <w:sz w:val="22"/>
                <w:szCs w:val="22"/>
              </w:rPr>
              <w:br/>
              <w:t>• Ensure long-term access</w:t>
            </w:r>
          </w:p>
        </w:tc>
        <w:tc>
          <w:tcPr>
            <w:tcW w:w="736" w:type="dxa"/>
            <w:tcBorders>
              <w:top w:val="nil"/>
              <w:left w:val="nil"/>
              <w:bottom w:val="single" w:sz="4" w:space="0" w:color="auto"/>
              <w:right w:val="single" w:sz="4" w:space="0" w:color="auto"/>
            </w:tcBorders>
            <w:shd w:val="clear" w:color="auto" w:fill="A5C9EB" w:themeFill="text2" w:themeFillTint="40"/>
            <w:noWrap/>
            <w:vAlign w:val="bottom"/>
          </w:tcPr>
          <w:p w14:paraId="20E4CA22" w14:textId="40F070E5"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042B3E04" w14:textId="0BDC6A24"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noWrap/>
            <w:vAlign w:val="bottom"/>
          </w:tcPr>
          <w:p w14:paraId="09F6D3C2" w14:textId="55111ED2"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noWrap/>
            <w:vAlign w:val="bottom"/>
          </w:tcPr>
          <w:p w14:paraId="5D2664B5" w14:textId="5CA38A88"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gridSpan w:val="2"/>
            <w:tcBorders>
              <w:top w:val="nil"/>
              <w:left w:val="nil"/>
              <w:bottom w:val="single" w:sz="4" w:space="0" w:color="auto"/>
              <w:right w:val="single" w:sz="4" w:space="0" w:color="auto"/>
            </w:tcBorders>
            <w:noWrap/>
            <w:vAlign w:val="bottom"/>
          </w:tcPr>
          <w:p w14:paraId="24F26C8A" w14:textId="77777777" w:rsidR="00B45F7D" w:rsidRPr="002F14BF" w:rsidRDefault="00B45F7D" w:rsidP="00143F62">
            <w:pPr>
              <w:spacing w:after="0" w:line="240" w:lineRule="auto"/>
              <w:jc w:val="center"/>
              <w:rPr>
                <w:rFonts w:ascii="Aptos Narrow" w:eastAsia="Times New Roman" w:hAnsi="Aptos Narrow" w:cs="Times New Roman"/>
                <w:sz w:val="20"/>
                <w:szCs w:val="20"/>
                <w:lang w:eastAsia="en-US"/>
              </w:rPr>
            </w:pPr>
          </w:p>
        </w:tc>
      </w:tr>
      <w:tr w:rsidR="00B45F7D" w:rsidRPr="00603088" w14:paraId="15A56D23" w14:textId="77777777" w:rsidTr="00A13F34">
        <w:trPr>
          <w:trHeight w:val="300"/>
        </w:trPr>
        <w:tc>
          <w:tcPr>
            <w:tcW w:w="3281" w:type="dxa"/>
            <w:tcBorders>
              <w:top w:val="nil"/>
              <w:left w:val="single" w:sz="4" w:space="0" w:color="auto"/>
              <w:bottom w:val="single" w:sz="4" w:space="0" w:color="auto"/>
              <w:right w:val="single" w:sz="4" w:space="0" w:color="auto"/>
            </w:tcBorders>
            <w:noWrap/>
            <w:vAlign w:val="center"/>
          </w:tcPr>
          <w:p w14:paraId="7F5D860F" w14:textId="77777777" w:rsidR="00B45F7D" w:rsidRPr="00B77CC1" w:rsidRDefault="00B45F7D">
            <w:pPr>
              <w:rPr>
                <w:sz w:val="22"/>
                <w:szCs w:val="22"/>
              </w:rPr>
            </w:pPr>
            <w:r w:rsidRPr="00B77CC1">
              <w:rPr>
                <w:sz w:val="22"/>
                <w:szCs w:val="22"/>
              </w:rPr>
              <w:t>9. Transition Toward QL1 Lidar</w:t>
            </w:r>
          </w:p>
        </w:tc>
        <w:tc>
          <w:tcPr>
            <w:tcW w:w="2744" w:type="dxa"/>
            <w:tcBorders>
              <w:top w:val="nil"/>
              <w:left w:val="nil"/>
              <w:bottom w:val="single" w:sz="4" w:space="0" w:color="auto"/>
              <w:right w:val="single" w:sz="4" w:space="0" w:color="auto"/>
            </w:tcBorders>
            <w:noWrap/>
            <w:vAlign w:val="bottom"/>
          </w:tcPr>
          <w:p w14:paraId="41ECE350" w14:textId="77777777" w:rsidR="00B45F7D" w:rsidRPr="00B77CC1" w:rsidRDefault="00B45F7D">
            <w:pPr>
              <w:spacing w:after="0" w:line="240" w:lineRule="auto"/>
              <w:rPr>
                <w:sz w:val="22"/>
                <w:szCs w:val="22"/>
              </w:rPr>
            </w:pPr>
            <w:r w:rsidRPr="00B77CC1">
              <w:rPr>
                <w:sz w:val="22"/>
                <w:szCs w:val="22"/>
              </w:rPr>
              <w:t>• Incorporate QL1 standards into future funding requests</w:t>
            </w:r>
            <w:r w:rsidRPr="00B77CC1">
              <w:rPr>
                <w:sz w:val="22"/>
                <w:szCs w:val="22"/>
              </w:rPr>
              <w:br/>
              <w:t>• Document advanced use cases that require higher density</w:t>
            </w:r>
            <w:r w:rsidRPr="00B77CC1">
              <w:rPr>
                <w:sz w:val="22"/>
                <w:szCs w:val="22"/>
              </w:rPr>
              <w:br/>
              <w:t>• Track readiness for eventual 0.5 m DEMs</w:t>
            </w:r>
          </w:p>
        </w:tc>
        <w:tc>
          <w:tcPr>
            <w:tcW w:w="736" w:type="dxa"/>
            <w:tcBorders>
              <w:top w:val="nil"/>
              <w:left w:val="nil"/>
              <w:bottom w:val="single" w:sz="4" w:space="0" w:color="auto"/>
              <w:right w:val="single" w:sz="4" w:space="0" w:color="auto"/>
            </w:tcBorders>
            <w:noWrap/>
            <w:vAlign w:val="bottom"/>
          </w:tcPr>
          <w:p w14:paraId="37D95A31" w14:textId="09066A5D"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2865D362" w14:textId="416DA18F"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656B1850" w14:textId="7AB4AF94"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58909A5D" w14:textId="7C44EC98"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shd w:val="clear" w:color="auto" w:fill="A5C9EB" w:themeFill="text2" w:themeFillTint="40"/>
            <w:noWrap/>
            <w:vAlign w:val="bottom"/>
          </w:tcPr>
          <w:p w14:paraId="3E7ED1CE" w14:textId="5033359B"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vAlign w:val="bottom"/>
          </w:tcPr>
          <w:p w14:paraId="22439485" w14:textId="77777777" w:rsidR="00B45F7D" w:rsidRPr="00603088" w:rsidRDefault="00B45F7D" w:rsidP="00143F62">
            <w:pPr>
              <w:jc w:val="center"/>
            </w:pPr>
          </w:p>
        </w:tc>
      </w:tr>
      <w:tr w:rsidR="00B45F7D" w:rsidRPr="00603088" w14:paraId="19749722" w14:textId="77777777" w:rsidTr="00A13F34">
        <w:trPr>
          <w:gridAfter w:val="1"/>
          <w:wAfter w:w="804" w:type="dxa"/>
          <w:trHeight w:val="300"/>
        </w:trPr>
        <w:tc>
          <w:tcPr>
            <w:tcW w:w="3281" w:type="dxa"/>
            <w:tcBorders>
              <w:top w:val="nil"/>
              <w:left w:val="single" w:sz="4" w:space="0" w:color="auto"/>
              <w:bottom w:val="single" w:sz="4" w:space="0" w:color="auto"/>
              <w:right w:val="single" w:sz="4" w:space="0" w:color="auto"/>
            </w:tcBorders>
            <w:noWrap/>
            <w:vAlign w:val="center"/>
          </w:tcPr>
          <w:p w14:paraId="0658A1BF" w14:textId="77777777" w:rsidR="00B45F7D" w:rsidRPr="00B77CC1" w:rsidRDefault="00B45F7D">
            <w:pPr>
              <w:rPr>
                <w:sz w:val="22"/>
                <w:szCs w:val="22"/>
              </w:rPr>
            </w:pPr>
            <w:r w:rsidRPr="00B77CC1">
              <w:rPr>
                <w:sz w:val="22"/>
                <w:szCs w:val="22"/>
              </w:rPr>
              <w:t>10. Statewide Lidar Refresh Strategy (5–8 Year Cycle)</w:t>
            </w:r>
          </w:p>
          <w:p w14:paraId="1141E18C" w14:textId="77777777" w:rsidR="00B45F7D" w:rsidRPr="00B77CC1" w:rsidRDefault="00B45F7D">
            <w:pPr>
              <w:rPr>
                <w:sz w:val="22"/>
                <w:szCs w:val="22"/>
              </w:rPr>
            </w:pPr>
          </w:p>
        </w:tc>
        <w:tc>
          <w:tcPr>
            <w:tcW w:w="2744" w:type="dxa"/>
            <w:tcBorders>
              <w:top w:val="nil"/>
              <w:left w:val="nil"/>
              <w:bottom w:val="single" w:sz="4" w:space="0" w:color="auto"/>
              <w:right w:val="single" w:sz="4" w:space="0" w:color="auto"/>
            </w:tcBorders>
            <w:noWrap/>
            <w:vAlign w:val="bottom"/>
          </w:tcPr>
          <w:p w14:paraId="27768470" w14:textId="77777777" w:rsidR="00B45F7D" w:rsidRPr="00B77CC1" w:rsidRDefault="00B45F7D">
            <w:pPr>
              <w:spacing w:after="0" w:line="240" w:lineRule="auto"/>
              <w:rPr>
                <w:sz w:val="22"/>
                <w:szCs w:val="22"/>
              </w:rPr>
            </w:pPr>
            <w:r w:rsidRPr="00B77CC1">
              <w:rPr>
                <w:sz w:val="22"/>
                <w:szCs w:val="22"/>
              </w:rPr>
              <w:t>• Develop priority-based acquisition maps</w:t>
            </w:r>
            <w:r w:rsidRPr="00B77CC1">
              <w:rPr>
                <w:sz w:val="22"/>
                <w:szCs w:val="22"/>
              </w:rPr>
              <w:br/>
              <w:t>• Align fundi</w:t>
            </w:r>
            <w:r w:rsidR="00EA2AE2">
              <w:rPr>
                <w:sz w:val="22"/>
                <w:szCs w:val="22"/>
              </w:rPr>
              <w:t>n</w:t>
            </w:r>
            <w:r w:rsidRPr="00B77CC1">
              <w:rPr>
                <w:sz w:val="22"/>
                <w:szCs w:val="22"/>
              </w:rPr>
              <w:t>g and timelines with federal/state partners</w:t>
            </w:r>
            <w:r w:rsidRPr="00B77CC1">
              <w:rPr>
                <w:sz w:val="22"/>
                <w:szCs w:val="22"/>
              </w:rPr>
              <w:br/>
              <w:t>• Set criteria for rapid updates in high</w:t>
            </w:r>
            <w:r w:rsidRPr="00B77CC1">
              <w:rPr>
                <w:sz w:val="22"/>
                <w:szCs w:val="22"/>
              </w:rPr>
              <w:noBreakHyphen/>
              <w:t>change areas</w:t>
            </w:r>
          </w:p>
        </w:tc>
        <w:tc>
          <w:tcPr>
            <w:tcW w:w="736" w:type="dxa"/>
            <w:tcBorders>
              <w:top w:val="nil"/>
              <w:left w:val="nil"/>
              <w:bottom w:val="single" w:sz="4" w:space="0" w:color="auto"/>
              <w:right w:val="single" w:sz="4" w:space="0" w:color="auto"/>
            </w:tcBorders>
            <w:noWrap/>
            <w:vAlign w:val="bottom"/>
          </w:tcPr>
          <w:p w14:paraId="08C38898" w14:textId="562B14ED"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single" w:sz="4" w:space="0" w:color="auto"/>
              <w:left w:val="nil"/>
              <w:bottom w:val="single" w:sz="4" w:space="0" w:color="auto"/>
              <w:right w:val="single" w:sz="4" w:space="0" w:color="auto"/>
            </w:tcBorders>
            <w:noWrap/>
            <w:vAlign w:val="bottom"/>
          </w:tcPr>
          <w:p w14:paraId="505BE2C5" w14:textId="4DCEA934"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70177834" w14:textId="262D4571"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4F6B5E86" w14:textId="3C9DC602"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noWrap/>
            <w:vAlign w:val="bottom"/>
          </w:tcPr>
          <w:p w14:paraId="6516096D" w14:textId="0C3E1951"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B45F7D" w:rsidRPr="00603088" w14:paraId="4A4301FF" w14:textId="77777777" w:rsidTr="00A13F34">
        <w:trPr>
          <w:gridAfter w:val="1"/>
          <w:wAfter w:w="804" w:type="dxa"/>
          <w:trHeight w:val="300"/>
        </w:trPr>
        <w:tc>
          <w:tcPr>
            <w:tcW w:w="3281" w:type="dxa"/>
            <w:tcBorders>
              <w:top w:val="nil"/>
              <w:left w:val="single" w:sz="4" w:space="0" w:color="auto"/>
              <w:bottom w:val="single" w:sz="4" w:space="0" w:color="auto"/>
              <w:right w:val="single" w:sz="4" w:space="0" w:color="auto"/>
            </w:tcBorders>
            <w:noWrap/>
            <w:vAlign w:val="center"/>
          </w:tcPr>
          <w:p w14:paraId="28D6A27C" w14:textId="77777777" w:rsidR="00B45F7D" w:rsidRPr="00B77CC1" w:rsidRDefault="00B45F7D">
            <w:pPr>
              <w:rPr>
                <w:sz w:val="22"/>
                <w:szCs w:val="22"/>
              </w:rPr>
            </w:pPr>
            <w:r w:rsidRPr="00B77CC1">
              <w:rPr>
                <w:sz w:val="22"/>
                <w:szCs w:val="22"/>
              </w:rPr>
              <w:t>1</w:t>
            </w:r>
            <w:r>
              <w:rPr>
                <w:sz w:val="22"/>
                <w:szCs w:val="22"/>
              </w:rPr>
              <w:t>1</w:t>
            </w:r>
            <w:r w:rsidRPr="00B77CC1">
              <w:rPr>
                <w:sz w:val="22"/>
                <w:szCs w:val="22"/>
              </w:rPr>
              <w:t>. Improve Metadata &amp; User Communication</w:t>
            </w:r>
          </w:p>
          <w:p w14:paraId="4D242C30" w14:textId="77777777" w:rsidR="00B45F7D" w:rsidRPr="00B77CC1" w:rsidRDefault="00B45F7D">
            <w:pPr>
              <w:rPr>
                <w:sz w:val="22"/>
                <w:szCs w:val="22"/>
              </w:rPr>
            </w:pPr>
          </w:p>
        </w:tc>
        <w:tc>
          <w:tcPr>
            <w:tcW w:w="2744" w:type="dxa"/>
            <w:tcBorders>
              <w:top w:val="nil"/>
              <w:left w:val="nil"/>
              <w:bottom w:val="single" w:sz="4" w:space="0" w:color="auto"/>
              <w:right w:val="single" w:sz="4" w:space="0" w:color="auto"/>
            </w:tcBorders>
            <w:noWrap/>
            <w:vAlign w:val="bottom"/>
          </w:tcPr>
          <w:p w14:paraId="7FC00FAA" w14:textId="470EA002" w:rsidR="00B45F7D" w:rsidRPr="00B77CC1" w:rsidRDefault="00B45F7D">
            <w:pPr>
              <w:spacing w:after="0" w:line="240" w:lineRule="auto"/>
              <w:rPr>
                <w:sz w:val="22"/>
                <w:szCs w:val="22"/>
              </w:rPr>
            </w:pPr>
            <w:r w:rsidRPr="00B77CC1">
              <w:rPr>
                <w:sz w:val="22"/>
                <w:szCs w:val="22"/>
              </w:rPr>
              <w:t>• Provide easy access to acquisition dates and accuracy information</w:t>
            </w:r>
            <w:r w:rsidRPr="00B77CC1">
              <w:rPr>
                <w:sz w:val="22"/>
                <w:szCs w:val="22"/>
              </w:rPr>
              <w:br/>
              <w:t xml:space="preserve">• Document known data </w:t>
            </w:r>
            <w:r w:rsidRPr="00B77CC1">
              <w:rPr>
                <w:sz w:val="22"/>
                <w:szCs w:val="22"/>
              </w:rPr>
              <w:lastRenderedPageBreak/>
              <w:t>limitations and classification differences</w:t>
            </w:r>
            <w:r w:rsidRPr="00B77CC1">
              <w:rPr>
                <w:sz w:val="22"/>
                <w:szCs w:val="22"/>
              </w:rPr>
              <w:br/>
              <w:t>• Create tile-level metadata products</w:t>
            </w:r>
            <w:r w:rsidR="006700AC">
              <w:rPr>
                <w:sz w:val="22"/>
                <w:szCs w:val="22"/>
              </w:rPr>
              <w:t>, such as acquisitions dates</w:t>
            </w:r>
          </w:p>
        </w:tc>
        <w:tc>
          <w:tcPr>
            <w:tcW w:w="736" w:type="dxa"/>
            <w:tcBorders>
              <w:top w:val="nil"/>
              <w:left w:val="nil"/>
              <w:bottom w:val="single" w:sz="4" w:space="0" w:color="auto"/>
              <w:right w:val="single" w:sz="4" w:space="0" w:color="auto"/>
            </w:tcBorders>
            <w:shd w:val="clear" w:color="auto" w:fill="A5C9EB" w:themeFill="text2" w:themeFillTint="40"/>
            <w:noWrap/>
            <w:vAlign w:val="bottom"/>
          </w:tcPr>
          <w:p w14:paraId="0625F1FC" w14:textId="2D516ABB"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lastRenderedPageBreak/>
              <w:t>X</w:t>
            </w:r>
          </w:p>
        </w:tc>
        <w:tc>
          <w:tcPr>
            <w:tcW w:w="804" w:type="dxa"/>
            <w:tcBorders>
              <w:top w:val="single" w:sz="4" w:space="0" w:color="auto"/>
              <w:left w:val="nil"/>
              <w:bottom w:val="single" w:sz="4" w:space="0" w:color="auto"/>
              <w:right w:val="single" w:sz="4" w:space="0" w:color="auto"/>
            </w:tcBorders>
            <w:shd w:val="clear" w:color="auto" w:fill="A5C9EB" w:themeFill="text2" w:themeFillTint="40"/>
            <w:noWrap/>
            <w:vAlign w:val="bottom"/>
          </w:tcPr>
          <w:p w14:paraId="78C10285" w14:textId="4FBC0111"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noWrap/>
            <w:vAlign w:val="bottom"/>
          </w:tcPr>
          <w:p w14:paraId="1F8AAE71" w14:textId="455E01B5"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noWrap/>
            <w:vAlign w:val="bottom"/>
          </w:tcPr>
          <w:p w14:paraId="2652DDEC" w14:textId="427448F5"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gridSpan w:val="2"/>
            <w:tcBorders>
              <w:top w:val="nil"/>
              <w:left w:val="nil"/>
              <w:bottom w:val="single" w:sz="4" w:space="0" w:color="auto"/>
              <w:right w:val="single" w:sz="4" w:space="0" w:color="auto"/>
            </w:tcBorders>
            <w:noWrap/>
            <w:vAlign w:val="bottom"/>
          </w:tcPr>
          <w:p w14:paraId="54187B67" w14:textId="021FAE6F" w:rsidR="00B45F7D" w:rsidRPr="002F14BF" w:rsidRDefault="008E4142"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B45F7D" w:rsidRPr="00603088" w14:paraId="530B97DA" w14:textId="77777777" w:rsidTr="00A13F34">
        <w:trPr>
          <w:gridAfter w:val="1"/>
          <w:wAfter w:w="804" w:type="dxa"/>
          <w:trHeight w:val="300"/>
        </w:trPr>
        <w:tc>
          <w:tcPr>
            <w:tcW w:w="3281" w:type="dxa"/>
            <w:tcBorders>
              <w:top w:val="nil"/>
              <w:left w:val="single" w:sz="4" w:space="0" w:color="auto"/>
              <w:bottom w:val="single" w:sz="4" w:space="0" w:color="auto"/>
              <w:right w:val="single" w:sz="4" w:space="0" w:color="auto"/>
            </w:tcBorders>
            <w:noWrap/>
            <w:vAlign w:val="center"/>
          </w:tcPr>
          <w:p w14:paraId="07B07CD7" w14:textId="77777777" w:rsidR="00B45F7D" w:rsidRPr="00EB6EB1" w:rsidRDefault="00B45F7D">
            <w:pPr>
              <w:rPr>
                <w:sz w:val="22"/>
                <w:szCs w:val="22"/>
              </w:rPr>
            </w:pPr>
            <w:r w:rsidRPr="00B77CC1">
              <w:rPr>
                <w:sz w:val="22"/>
                <w:szCs w:val="22"/>
              </w:rPr>
              <w:t>12. Coordinate Hydrography + Elevation Acquisition</w:t>
            </w:r>
          </w:p>
        </w:tc>
        <w:tc>
          <w:tcPr>
            <w:tcW w:w="2744" w:type="dxa"/>
            <w:tcBorders>
              <w:top w:val="nil"/>
              <w:left w:val="nil"/>
              <w:bottom w:val="single" w:sz="4" w:space="0" w:color="auto"/>
              <w:right w:val="single" w:sz="4" w:space="0" w:color="auto"/>
            </w:tcBorders>
            <w:noWrap/>
            <w:vAlign w:val="bottom"/>
          </w:tcPr>
          <w:p w14:paraId="18B1F87C" w14:textId="1D3291A8" w:rsidR="00B45F7D" w:rsidRPr="002F14BF" w:rsidRDefault="00B45F7D">
            <w:pPr>
              <w:spacing w:after="0" w:line="240" w:lineRule="auto"/>
              <w:rPr>
                <w:rFonts w:ascii="Aptos Narrow" w:eastAsia="Times New Roman" w:hAnsi="Aptos Narrow" w:cs="Times New Roman"/>
                <w:sz w:val="20"/>
                <w:szCs w:val="20"/>
                <w:lang w:eastAsia="en-US"/>
              </w:rPr>
            </w:pPr>
            <w:r w:rsidRPr="00B77CC1">
              <w:rPr>
                <w:sz w:val="22"/>
                <w:szCs w:val="22"/>
              </w:rPr>
              <w:t xml:space="preserve">• Joint working groups for </w:t>
            </w:r>
            <w:proofErr w:type="spellStart"/>
            <w:r w:rsidR="00D95CA4">
              <w:rPr>
                <w:sz w:val="22"/>
                <w:szCs w:val="22"/>
              </w:rPr>
              <w:t>elevaiton</w:t>
            </w:r>
            <w:proofErr w:type="spellEnd"/>
            <w:r w:rsidRPr="00B77CC1">
              <w:rPr>
                <w:sz w:val="22"/>
                <w:szCs w:val="22"/>
              </w:rPr>
              <w:t>/hydro planning</w:t>
            </w:r>
            <w:r w:rsidRPr="00B77CC1">
              <w:rPr>
                <w:sz w:val="22"/>
                <w:szCs w:val="22"/>
              </w:rPr>
              <w:br/>
              <w:t>• Ensure EDH compliance during lidar acquisition</w:t>
            </w:r>
            <w:r w:rsidRPr="00B77CC1">
              <w:rPr>
                <w:sz w:val="22"/>
                <w:szCs w:val="22"/>
              </w:rPr>
              <w:br/>
              <w:t>• Synchronize delivery timelines for both datasets</w:t>
            </w:r>
          </w:p>
        </w:tc>
        <w:tc>
          <w:tcPr>
            <w:tcW w:w="736" w:type="dxa"/>
            <w:tcBorders>
              <w:top w:val="nil"/>
              <w:left w:val="nil"/>
              <w:bottom w:val="single" w:sz="4" w:space="0" w:color="auto"/>
              <w:right w:val="single" w:sz="4" w:space="0" w:color="auto"/>
            </w:tcBorders>
            <w:shd w:val="clear" w:color="auto" w:fill="A5C9EB" w:themeFill="text2" w:themeFillTint="40"/>
            <w:noWrap/>
            <w:vAlign w:val="bottom"/>
          </w:tcPr>
          <w:p w14:paraId="7E965F3F" w14:textId="61342A54"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69D0E88C" w14:textId="663C8FBA"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0E763C06" w14:textId="338526E6"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68E95AA4" w14:textId="1BD43866"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shd w:val="clear" w:color="auto" w:fill="A5C9EB" w:themeFill="text2" w:themeFillTint="40"/>
            <w:noWrap/>
            <w:vAlign w:val="bottom"/>
          </w:tcPr>
          <w:p w14:paraId="5B4722B6" w14:textId="6F8B3EF3" w:rsidR="00B45F7D" w:rsidRPr="002F14BF" w:rsidRDefault="00CD14BA" w:rsidP="00143F62">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r>
    </w:tbl>
    <w:p w14:paraId="67F704DA" w14:textId="195FF321" w:rsidR="00B45F7D" w:rsidRPr="00922610" w:rsidRDefault="00922610" w:rsidP="00B45F7D">
      <w:pPr>
        <w:rPr>
          <w:i/>
          <w:iCs/>
        </w:rPr>
      </w:pPr>
      <w:r>
        <w:rPr>
          <w:i/>
          <w:iCs/>
        </w:rPr>
        <w:t>x</w:t>
      </w:r>
      <w:r w:rsidR="008E4142" w:rsidRPr="00922610">
        <w:rPr>
          <w:i/>
          <w:iCs/>
        </w:rPr>
        <w:t xml:space="preserve"> </w:t>
      </w:r>
      <w:r w:rsidR="00632AB5" w:rsidRPr="00922610">
        <w:rPr>
          <w:i/>
          <w:iCs/>
        </w:rPr>
        <w:t>– Working on</w:t>
      </w:r>
      <w:r w:rsidRPr="00922610">
        <w:rPr>
          <w:i/>
          <w:iCs/>
        </w:rPr>
        <w:t xml:space="preserve"> task</w:t>
      </w:r>
    </w:p>
    <w:p w14:paraId="54967AB1" w14:textId="19ACC45A" w:rsidR="005718F4" w:rsidRPr="006C49A3" w:rsidRDefault="3E60AAF6" w:rsidP="00065443">
      <w:pPr>
        <w:pStyle w:val="Heading2"/>
        <w:rPr>
          <w:rFonts w:eastAsia="Aptos"/>
          <w:sz w:val="28"/>
          <w:szCs w:val="28"/>
        </w:rPr>
      </w:pPr>
      <w:bookmarkStart w:id="29" w:name="_Toc236121104"/>
      <w:r w:rsidRPr="006C49A3">
        <w:rPr>
          <w:rFonts w:eastAsia="Aptos"/>
          <w:sz w:val="28"/>
          <w:szCs w:val="28"/>
        </w:rPr>
        <w:t>Theme Challenges</w:t>
      </w:r>
      <w:bookmarkEnd w:id="29"/>
    </w:p>
    <w:p w14:paraId="2AF0357A" w14:textId="70D24F15" w:rsidR="003E55F3" w:rsidRPr="003E55F3" w:rsidRDefault="003E55F3" w:rsidP="0085756B">
      <w:r w:rsidRPr="003E55F3">
        <w:t>MSDI</w:t>
      </w:r>
      <w:r w:rsidR="000366B7">
        <w:t xml:space="preserve"> Elevation</w:t>
      </w:r>
      <w:r w:rsidRPr="003E55F3">
        <w:t xml:space="preserve"> is heavily reliant on the timelines, staffing levels, priorities, and funding levels of the federal government, namely the U.S. Geological Survey.  Providing </w:t>
      </w:r>
      <w:r w:rsidR="000366B7">
        <w:t xml:space="preserve">and </w:t>
      </w:r>
      <w:r w:rsidRPr="003E55F3">
        <w:t xml:space="preserve">advocating for funding, finding partners, and taking advantage of USGS Data Collaboration Announcements </w:t>
      </w:r>
      <w:r w:rsidR="008A0400">
        <w:t xml:space="preserve">and other </w:t>
      </w:r>
      <w:r w:rsidRPr="003E55F3">
        <w:t xml:space="preserve">funding opportunities are the primary ways to </w:t>
      </w:r>
      <w:r w:rsidR="000366B7">
        <w:t xml:space="preserve">expedite lidar acquisitions </w:t>
      </w:r>
      <w:r w:rsidR="000366B7" w:rsidRPr="003E55F3">
        <w:t>for</w:t>
      </w:r>
      <w:r w:rsidRPr="003E55F3">
        <w:t xml:space="preserve"> Montana.  Bottomline, a significant investment (~$</w:t>
      </w:r>
      <w:r w:rsidR="0085756B">
        <w:t>42</w:t>
      </w:r>
      <w:r w:rsidRPr="003E55F3">
        <w:t xml:space="preserve">M) from </w:t>
      </w:r>
      <w:r w:rsidR="0085756B">
        <w:t xml:space="preserve">federal, </w:t>
      </w:r>
      <w:r w:rsidRPr="003E55F3">
        <w:t>state, local, and tribal partners is needed t</w:t>
      </w:r>
      <w:r w:rsidR="0085756B">
        <w:t>o achieve recurring lidar acquisitions at an increased quality level (QL1) and</w:t>
      </w:r>
      <w:r w:rsidRPr="003E55F3">
        <w:t xml:space="preserve"> </w:t>
      </w:r>
      <w:r w:rsidR="0085756B">
        <w:t xml:space="preserve">within the desired </w:t>
      </w:r>
      <w:r w:rsidRPr="003E55F3">
        <w:t>time</w:t>
      </w:r>
      <w:r w:rsidR="0085756B">
        <w:t>line</w:t>
      </w:r>
      <w:r w:rsidRPr="003E55F3">
        <w:t xml:space="preserve"> (</w:t>
      </w:r>
      <w:r w:rsidR="0085756B">
        <w:t>~</w:t>
      </w:r>
      <w:r w:rsidRPr="003E55F3">
        <w:t>5-</w:t>
      </w:r>
      <w:proofErr w:type="gramStart"/>
      <w:r w:rsidR="0085756B">
        <w:t>8</w:t>
      </w:r>
      <w:r w:rsidRPr="003E55F3">
        <w:t xml:space="preserve"> year</w:t>
      </w:r>
      <w:proofErr w:type="gramEnd"/>
      <w:r w:rsidR="0085756B">
        <w:t xml:space="preserve"> refresh</w:t>
      </w:r>
      <w:r w:rsidRPr="003E55F3">
        <w:t>).  Leaving the funding burden solely to the federal government likely leads to a much longer timeline</w:t>
      </w:r>
      <w:r w:rsidR="000366B7">
        <w:t>.</w:t>
      </w:r>
    </w:p>
    <w:p w14:paraId="3673A7CD" w14:textId="09F13CFA" w:rsidR="00D05B44" w:rsidRDefault="0057521D" w:rsidP="004C33EF">
      <w:r>
        <w:t>C</w:t>
      </w:r>
      <w:r w:rsidR="00FA711B" w:rsidRPr="00FA711B">
        <w:t>ost barriers limit progress toward higher</w:t>
      </w:r>
      <w:r w:rsidR="00FA711B" w:rsidRPr="00FA711B">
        <w:noBreakHyphen/>
        <w:t>quality datasets, including QL1 acquisitions, full point</w:t>
      </w:r>
      <w:r w:rsidR="00FA711B" w:rsidRPr="00FA711B">
        <w:noBreakHyphen/>
        <w:t xml:space="preserve">cloud classification, expanded storage capacity, and </w:t>
      </w:r>
      <w:r w:rsidR="00135A7D">
        <w:t>stat</w:t>
      </w:r>
      <w:r w:rsidR="00454D99">
        <w:t xml:space="preserve">ewide completion of </w:t>
      </w:r>
      <w:r w:rsidR="00FA711B" w:rsidRPr="00FA711B">
        <w:t xml:space="preserve">products like certified contours </w:t>
      </w:r>
      <w:r w:rsidR="00616BE6">
        <w:t>and</w:t>
      </w:r>
      <w:r w:rsidR="00FA711B" w:rsidRPr="00FA711B">
        <w:t xml:space="preserve"> hydro</w:t>
      </w:r>
      <w:r w:rsidR="00FA711B" w:rsidRPr="00FA711B">
        <w:noBreakHyphen/>
        <w:t xml:space="preserve">enforced </w:t>
      </w:r>
      <w:proofErr w:type="spellStart"/>
      <w:r w:rsidR="00FA711B" w:rsidRPr="00FA711B">
        <w:t>DEMs.</w:t>
      </w:r>
      <w:proofErr w:type="spellEnd"/>
      <w:r w:rsidR="00FA711B" w:rsidRPr="00FA711B">
        <w:t xml:space="preserve"> Technical inconsistencies across older projects create hurdle</w:t>
      </w:r>
      <w:r w:rsidR="00D05B44">
        <w:t xml:space="preserve">s, including </w:t>
      </w:r>
      <w:r w:rsidR="00FA711B" w:rsidRPr="00FA711B">
        <w:t>varying specifications, missing metadata, uneven</w:t>
      </w:r>
      <w:r w:rsidR="00D05B44">
        <w:t>/incomplete</w:t>
      </w:r>
      <w:r w:rsidR="00FA711B" w:rsidRPr="00FA711B">
        <w:t xml:space="preserve"> classification, and DSM and intensity products that differ by contractor or </w:t>
      </w:r>
      <w:r w:rsidR="00D05B44">
        <w:t xml:space="preserve">processing </w:t>
      </w:r>
      <w:r w:rsidR="00FA711B" w:rsidRPr="00FA711B">
        <w:t>methodology. Tribal data sovereignty adds complexity to data dissemination for certain areas.</w:t>
      </w:r>
    </w:p>
    <w:p w14:paraId="2A276650" w14:textId="4A92B058" w:rsidR="0057521D" w:rsidRDefault="0057521D" w:rsidP="004C33EF">
      <w:r w:rsidRPr="0057521D">
        <w:t xml:space="preserve">Goal 10 is about developing an acquisition strategy for refreshing statewide lidar on a regular basis.  </w:t>
      </w:r>
      <w:r w:rsidR="00431FEF" w:rsidRPr="00431FEF">
        <w:t>While an overarching strategy will help guide long-term momentum, staying flexible and ready for opportunities is still essential</w:t>
      </w:r>
      <w:r w:rsidRPr="0057521D">
        <w:t>.  In other words, the acquisition strategy will likely follow the money: who, what, where, and when funding is available.  The executed path will likely look very different than the initial strategy—and that’s okay.</w:t>
      </w:r>
    </w:p>
    <w:p w14:paraId="1CB70B98" w14:textId="3005641E" w:rsidR="005718F4" w:rsidRPr="006C49A3" w:rsidRDefault="3E60AAF6" w:rsidP="003E55F3">
      <w:pPr>
        <w:pStyle w:val="Heading2"/>
        <w:rPr>
          <w:rFonts w:eastAsia="Aptos"/>
          <w:sz w:val="28"/>
          <w:szCs w:val="28"/>
        </w:rPr>
      </w:pPr>
      <w:bookmarkStart w:id="30" w:name="_Toc236121105"/>
      <w:r w:rsidRPr="006C49A3">
        <w:rPr>
          <w:rFonts w:eastAsia="Aptos"/>
          <w:sz w:val="28"/>
          <w:szCs w:val="28"/>
        </w:rPr>
        <w:t>Conclusion</w:t>
      </w:r>
      <w:bookmarkEnd w:id="30"/>
    </w:p>
    <w:p w14:paraId="19BCF974" w14:textId="52911E4D" w:rsidR="004C33EF" w:rsidRPr="004C33EF" w:rsidRDefault="004C33EF" w:rsidP="004C33EF">
      <w:r w:rsidRPr="004C33EF">
        <w:t xml:space="preserve">The MSDI Elevation Theme Plan establishes a clear and actionable path for Montana’s elevation data over the coming years. Through comprehensive assessment and </w:t>
      </w:r>
      <w:r>
        <w:t>working group</w:t>
      </w:r>
      <w:r w:rsidRPr="004C33EF">
        <w:t xml:space="preserve"> collaboration, the plan highlights immediate priorities</w:t>
      </w:r>
      <w:r w:rsidR="00D05B44">
        <w:t>, including</w:t>
      </w:r>
      <w:r w:rsidRPr="004C33EF">
        <w:t xml:space="preserve"> finishing statewide </w:t>
      </w:r>
      <w:r w:rsidRPr="004C33EF">
        <w:lastRenderedPageBreak/>
        <w:t>lidar, improving web services, expanding documentation, and increasing self</w:t>
      </w:r>
      <w:r w:rsidRPr="004C33EF">
        <w:rPr>
          <w:rFonts w:ascii="Cambria Math" w:hAnsi="Cambria Math" w:cs="Cambria Math"/>
        </w:rPr>
        <w:t>‑</w:t>
      </w:r>
      <w:r w:rsidRPr="004C33EF">
        <w:t>help tools</w:t>
      </w:r>
      <w:r w:rsidR="00D05B44">
        <w:rPr>
          <w:rFonts w:ascii="Aptos" w:hAnsi="Aptos" w:cs="Aptos"/>
        </w:rPr>
        <w:t>.  L</w:t>
      </w:r>
      <w:r w:rsidRPr="004C33EF">
        <w:t>onger</w:t>
      </w:r>
      <w:r w:rsidRPr="004C33EF">
        <w:rPr>
          <w:rFonts w:ascii="Cambria Math" w:hAnsi="Cambria Math" w:cs="Cambria Math"/>
        </w:rPr>
        <w:t>‑</w:t>
      </w:r>
      <w:r w:rsidRPr="004C33EF">
        <w:t>term needs</w:t>
      </w:r>
      <w:r w:rsidR="00D05B44">
        <w:t xml:space="preserve"> are also identified, including</w:t>
      </w:r>
      <w:r w:rsidRPr="004C33EF">
        <w:t xml:space="preserve"> higher</w:t>
      </w:r>
      <w:r w:rsidRPr="004C33EF">
        <w:rPr>
          <w:rFonts w:ascii="Cambria Math" w:hAnsi="Cambria Math" w:cs="Cambria Math"/>
        </w:rPr>
        <w:t>‑</w:t>
      </w:r>
      <w:r w:rsidRPr="004C33EF">
        <w:t>resolution</w:t>
      </w:r>
      <w:r w:rsidR="00D05B44">
        <w:t xml:space="preserve"> lidar</w:t>
      </w:r>
      <w:r w:rsidRPr="004C33EF">
        <w:t xml:space="preserve"> data, acquisition cycles</w:t>
      </w:r>
      <w:r>
        <w:t xml:space="preserve"> </w:t>
      </w:r>
      <w:r w:rsidR="00D05B44">
        <w:t xml:space="preserve">coordinated </w:t>
      </w:r>
      <w:r>
        <w:t>with hydrography</w:t>
      </w:r>
      <w:r w:rsidRPr="004C33EF">
        <w:t>, and strengthened agency partnerships.</w:t>
      </w:r>
    </w:p>
    <w:p w14:paraId="53E26189" w14:textId="4E4124E1" w:rsidR="003E55F3" w:rsidRDefault="004C33EF" w:rsidP="004C33EF">
      <w:pPr>
        <w:rPr>
          <w:rFonts w:eastAsia="Aptos"/>
          <w:sz w:val="28"/>
          <w:szCs w:val="28"/>
        </w:rPr>
      </w:pPr>
      <w:r w:rsidRPr="004C33EF">
        <w:t xml:space="preserve">MSDI Elevation’s progress is closely tied to federal timelines, funding, contractor capacity, and tribal data governance. While challenges </w:t>
      </w:r>
      <w:proofErr w:type="gramStart"/>
      <w:r w:rsidRPr="004C33EF">
        <w:t>remain—</w:t>
      </w:r>
      <w:proofErr w:type="gramEnd"/>
      <w:r w:rsidRPr="004C33EF">
        <w:t xml:space="preserve">especially cost barriers, variable data integrity in older projects, and the complexity of statewide </w:t>
      </w:r>
      <w:proofErr w:type="gramStart"/>
      <w:r w:rsidRPr="004C33EF">
        <w:t>coordination—</w:t>
      </w:r>
      <w:proofErr w:type="gramEnd"/>
      <w:r w:rsidRPr="004C33EF">
        <w:t>the plan provides a realistic framework for continuous improvement. As goals are achieved, MSL will communicate updates</w:t>
      </w:r>
      <w:r w:rsidR="00D05B44">
        <w:t xml:space="preserve"> through</w:t>
      </w:r>
      <w:r w:rsidRPr="004C33EF">
        <w:t xml:space="preserve"> working group engagement</w:t>
      </w:r>
      <w:r w:rsidR="00B114FC">
        <w:t>, update</w:t>
      </w:r>
      <w:r w:rsidR="002333AA">
        <w:t>s to</w:t>
      </w:r>
      <w:r w:rsidR="00B114FC">
        <w:t xml:space="preserve"> the </w:t>
      </w:r>
      <w:r w:rsidR="00A049C6">
        <w:t>Data Improvement Plan Table</w:t>
      </w:r>
      <w:r w:rsidR="00FF0CAE">
        <w:t xml:space="preserve">.  Goals may </w:t>
      </w:r>
      <w:r w:rsidRPr="004C33EF">
        <w:t>adapt</w:t>
      </w:r>
      <w:r w:rsidR="00D05B44">
        <w:t xml:space="preserve"> </w:t>
      </w:r>
      <w:r w:rsidRPr="004C33EF">
        <w:t>to meet emerging requirements. This effort ensures that Montana’s elevation data remains accurate, current, and relevant for diverse statewide applications.</w:t>
      </w:r>
    </w:p>
    <w:p w14:paraId="40CF8F12" w14:textId="583066BE" w:rsidR="005718F4" w:rsidRPr="006C49A3" w:rsidRDefault="3E60AAF6" w:rsidP="00065443">
      <w:pPr>
        <w:pStyle w:val="Heading2"/>
        <w:rPr>
          <w:rFonts w:eastAsia="Aptos"/>
          <w:sz w:val="28"/>
          <w:szCs w:val="28"/>
        </w:rPr>
      </w:pPr>
      <w:bookmarkStart w:id="31" w:name="_Toc236121106"/>
      <w:r w:rsidRPr="006C49A3">
        <w:rPr>
          <w:rFonts w:eastAsia="Aptos"/>
          <w:sz w:val="28"/>
          <w:szCs w:val="28"/>
        </w:rPr>
        <w:t>Appendix</w:t>
      </w:r>
      <w:bookmarkEnd w:id="31"/>
    </w:p>
    <w:p w14:paraId="7E0D713D" w14:textId="3F6C10B5" w:rsidR="002F1FC5" w:rsidRPr="004C623C" w:rsidRDefault="004C623C" w:rsidP="002F1FC5">
      <w:pPr>
        <w:rPr>
          <w:rStyle w:val="Hyperlink"/>
          <w:rFonts w:eastAsia="Aptos"/>
        </w:rPr>
      </w:pPr>
      <w:r>
        <w:rPr>
          <w:rFonts w:eastAsia="Aptos"/>
        </w:rPr>
        <w:fldChar w:fldCharType="begin"/>
      </w:r>
      <w:r>
        <w:rPr>
          <w:rFonts w:eastAsia="Aptos"/>
        </w:rPr>
        <w:instrText>HYPERLINK "https://docs.msl.mt.gov/MSDI/Elevation/Elevation%20Data%20Theme%20Quality%20Assessment%20Matrix%20Final.xlsx"</w:instrText>
      </w:r>
      <w:r>
        <w:rPr>
          <w:rFonts w:eastAsia="Aptos"/>
        </w:rPr>
      </w:r>
      <w:r>
        <w:rPr>
          <w:rFonts w:eastAsia="Aptos"/>
        </w:rPr>
        <w:fldChar w:fldCharType="separate"/>
      </w:r>
      <w:r w:rsidR="002F1FC5" w:rsidRPr="004C623C">
        <w:rPr>
          <w:rStyle w:val="Hyperlink"/>
          <w:rFonts w:eastAsia="Aptos"/>
        </w:rPr>
        <w:t>MSDI Elevation Data Theme Quality Assessment Matrix</w:t>
      </w:r>
    </w:p>
    <w:bookmarkStart w:id="32" w:name="_Toc233114870"/>
    <w:p w14:paraId="64BE2CC1" w14:textId="5EAA7C49" w:rsidR="002F1FC5" w:rsidRPr="001E5BB9" w:rsidRDefault="004C623C" w:rsidP="002F1FC5">
      <w:pPr>
        <w:rPr>
          <w:rFonts w:eastAsia="Aptos"/>
        </w:rPr>
      </w:pPr>
      <w:r>
        <w:rPr>
          <w:rFonts w:eastAsia="Aptos"/>
        </w:rPr>
        <w:fldChar w:fldCharType="end"/>
      </w:r>
      <w:hyperlink r:id="rId11" w:history="1">
        <w:r w:rsidR="002F1FC5" w:rsidRPr="00F14E0D">
          <w:rPr>
            <w:rStyle w:val="Hyperlink"/>
            <w:rFonts w:eastAsia="Aptos"/>
          </w:rPr>
          <w:t xml:space="preserve">MSDI </w:t>
        </w:r>
        <w:r w:rsidR="002F1FC5">
          <w:rPr>
            <w:rStyle w:val="Hyperlink"/>
            <w:rFonts w:eastAsia="Aptos"/>
          </w:rPr>
          <w:t>Elevation</w:t>
        </w:r>
        <w:r w:rsidR="002F1FC5" w:rsidRPr="00F14E0D">
          <w:rPr>
            <w:rStyle w:val="Hyperlink"/>
            <w:rFonts w:eastAsia="Aptos"/>
          </w:rPr>
          <w:t xml:space="preserve"> Data Improvement Plan Table</w:t>
        </w:r>
        <w:bookmarkEnd w:id="32"/>
      </w:hyperlink>
    </w:p>
    <w:p w14:paraId="2AB5D531" w14:textId="6F2A8A5F" w:rsidR="008A1421" w:rsidRDefault="008A1421"/>
    <w:sectPr w:rsidR="008A1421" w:rsidSect="00547B7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85A27" w14:textId="77777777" w:rsidR="00CB720E" w:rsidRDefault="00CB720E" w:rsidP="001617C1">
      <w:pPr>
        <w:spacing w:after="0" w:line="240" w:lineRule="auto"/>
      </w:pPr>
      <w:r>
        <w:separator/>
      </w:r>
    </w:p>
  </w:endnote>
  <w:endnote w:type="continuationSeparator" w:id="0">
    <w:p w14:paraId="04958644" w14:textId="77777777" w:rsidR="00CB720E" w:rsidRDefault="00CB720E" w:rsidP="001617C1">
      <w:pPr>
        <w:spacing w:after="0" w:line="240" w:lineRule="auto"/>
      </w:pPr>
      <w:r>
        <w:continuationSeparator/>
      </w:r>
    </w:p>
  </w:endnote>
  <w:endnote w:type="continuationNotice" w:id="1">
    <w:p w14:paraId="506856AF" w14:textId="77777777" w:rsidR="00CB720E" w:rsidRDefault="00CB7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9EBC" w14:textId="77777777" w:rsidR="00DE353A" w:rsidRDefault="00DE35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8865" w14:textId="77777777" w:rsidR="00DE353A" w:rsidRDefault="00DE35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80D1" w14:textId="77777777" w:rsidR="00DE353A" w:rsidRDefault="00DE3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CD317" w14:textId="77777777" w:rsidR="00CB720E" w:rsidRDefault="00CB720E" w:rsidP="001617C1">
      <w:pPr>
        <w:spacing w:after="0" w:line="240" w:lineRule="auto"/>
      </w:pPr>
      <w:r>
        <w:separator/>
      </w:r>
    </w:p>
  </w:footnote>
  <w:footnote w:type="continuationSeparator" w:id="0">
    <w:p w14:paraId="2C178540" w14:textId="77777777" w:rsidR="00CB720E" w:rsidRDefault="00CB720E" w:rsidP="001617C1">
      <w:pPr>
        <w:spacing w:after="0" w:line="240" w:lineRule="auto"/>
      </w:pPr>
      <w:r>
        <w:continuationSeparator/>
      </w:r>
    </w:p>
  </w:footnote>
  <w:footnote w:type="continuationNotice" w:id="1">
    <w:p w14:paraId="7A13BE27" w14:textId="77777777" w:rsidR="00CB720E" w:rsidRDefault="00CB72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8146" w14:textId="77777777" w:rsidR="00DE353A" w:rsidRDefault="00DE3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BA17" w14:textId="6DBA31BB" w:rsidR="001617C1" w:rsidRDefault="00CB720E">
    <w:pPr>
      <w:pStyle w:val="Header"/>
      <w:jc w:val="right"/>
    </w:pPr>
    <w:sdt>
      <w:sdtPr>
        <w:id w:val="908423614"/>
        <w:docPartObj>
          <w:docPartGallery w:val="Watermarks"/>
          <w:docPartUnique/>
        </w:docPartObj>
      </w:sdtPr>
      <w:sdtEndPr/>
      <w:sdtContent>
        <w:r>
          <w:rPr>
            <w:noProof/>
          </w:rPr>
          <w:pict w14:anchorId="64B4D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158972713"/>
        <w:docPartObj>
          <w:docPartGallery w:val="Page Numbers (Top of Page)"/>
          <w:docPartUnique/>
        </w:docPartObj>
      </w:sdtPr>
      <w:sdtEndPr>
        <w:rPr>
          <w:noProof/>
        </w:rPr>
      </w:sdtEndPr>
      <w:sdtContent>
        <w:r w:rsidR="001617C1">
          <w:fldChar w:fldCharType="begin"/>
        </w:r>
        <w:r w:rsidR="001617C1">
          <w:instrText xml:space="preserve"> PAGE   \* MERGEFORMAT </w:instrText>
        </w:r>
        <w:r w:rsidR="001617C1">
          <w:fldChar w:fldCharType="separate"/>
        </w:r>
        <w:r w:rsidR="001617C1">
          <w:rPr>
            <w:noProof/>
          </w:rPr>
          <w:t>2</w:t>
        </w:r>
        <w:r w:rsidR="001617C1">
          <w:rPr>
            <w:noProof/>
          </w:rPr>
          <w:fldChar w:fldCharType="end"/>
        </w:r>
      </w:sdtContent>
    </w:sdt>
  </w:p>
  <w:p w14:paraId="53DDEBD1" w14:textId="77777777" w:rsidR="001617C1" w:rsidRDefault="001617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5234" w14:textId="6E8656BF" w:rsidR="00DE353A" w:rsidRDefault="00DE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365E3"/>
    <w:multiLevelType w:val="hybridMultilevel"/>
    <w:tmpl w:val="FB802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13F89"/>
    <w:multiLevelType w:val="hybridMultilevel"/>
    <w:tmpl w:val="4ED2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D25AC"/>
    <w:multiLevelType w:val="hybridMultilevel"/>
    <w:tmpl w:val="F044E8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3351C58"/>
    <w:multiLevelType w:val="hybridMultilevel"/>
    <w:tmpl w:val="577450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2A3C1A8"/>
    <w:multiLevelType w:val="hybridMultilevel"/>
    <w:tmpl w:val="E7DEB214"/>
    <w:lvl w:ilvl="0" w:tplc="5AE8C7FC">
      <w:start w:val="1"/>
      <w:numFmt w:val="decimal"/>
      <w:lvlText w:val="%1."/>
      <w:lvlJc w:val="left"/>
      <w:pPr>
        <w:ind w:left="720" w:hanging="360"/>
      </w:pPr>
    </w:lvl>
    <w:lvl w:ilvl="1" w:tplc="842AB7E8">
      <w:start w:val="1"/>
      <w:numFmt w:val="lowerLetter"/>
      <w:lvlText w:val="%2."/>
      <w:lvlJc w:val="left"/>
      <w:pPr>
        <w:ind w:left="1440" w:hanging="360"/>
      </w:pPr>
    </w:lvl>
    <w:lvl w:ilvl="2" w:tplc="EA48684A">
      <w:start w:val="1"/>
      <w:numFmt w:val="bullet"/>
      <w:lvlText w:val=""/>
      <w:lvlJc w:val="left"/>
      <w:pPr>
        <w:ind w:left="2340" w:hanging="360"/>
      </w:pPr>
      <w:rPr>
        <w:rFonts w:ascii="Symbol" w:hAnsi="Symbol" w:hint="default"/>
      </w:rPr>
    </w:lvl>
    <w:lvl w:ilvl="3" w:tplc="4E7EB670">
      <w:start w:val="1"/>
      <w:numFmt w:val="decimal"/>
      <w:lvlText w:val="%4."/>
      <w:lvlJc w:val="left"/>
      <w:pPr>
        <w:ind w:left="2880" w:hanging="360"/>
      </w:pPr>
    </w:lvl>
    <w:lvl w:ilvl="4" w:tplc="640ED076">
      <w:start w:val="1"/>
      <w:numFmt w:val="lowerLetter"/>
      <w:lvlText w:val="%5."/>
      <w:lvlJc w:val="left"/>
      <w:pPr>
        <w:ind w:left="3600" w:hanging="360"/>
      </w:pPr>
    </w:lvl>
    <w:lvl w:ilvl="5" w:tplc="B37E8D38">
      <w:start w:val="1"/>
      <w:numFmt w:val="lowerRoman"/>
      <w:lvlText w:val="%6."/>
      <w:lvlJc w:val="right"/>
      <w:pPr>
        <w:ind w:left="4320" w:hanging="180"/>
      </w:pPr>
    </w:lvl>
    <w:lvl w:ilvl="6" w:tplc="45C06992">
      <w:start w:val="1"/>
      <w:numFmt w:val="decimal"/>
      <w:lvlText w:val="%7."/>
      <w:lvlJc w:val="left"/>
      <w:pPr>
        <w:ind w:left="5040" w:hanging="360"/>
      </w:pPr>
    </w:lvl>
    <w:lvl w:ilvl="7" w:tplc="74E03FCC">
      <w:start w:val="1"/>
      <w:numFmt w:val="lowerLetter"/>
      <w:lvlText w:val="%8."/>
      <w:lvlJc w:val="left"/>
      <w:pPr>
        <w:ind w:left="5760" w:hanging="360"/>
      </w:pPr>
    </w:lvl>
    <w:lvl w:ilvl="8" w:tplc="D47A0064">
      <w:start w:val="1"/>
      <w:numFmt w:val="lowerRoman"/>
      <w:lvlText w:val="%9."/>
      <w:lvlJc w:val="right"/>
      <w:pPr>
        <w:ind w:left="6480" w:hanging="180"/>
      </w:pPr>
    </w:lvl>
  </w:abstractNum>
  <w:abstractNum w:abstractNumId="5" w15:restartNumberingAfterBreak="0">
    <w:nsid w:val="62EA7983"/>
    <w:multiLevelType w:val="hybridMultilevel"/>
    <w:tmpl w:val="32404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551506"/>
    <w:multiLevelType w:val="hybridMultilevel"/>
    <w:tmpl w:val="93D4A8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406257">
    <w:abstractNumId w:val="4"/>
  </w:num>
  <w:num w:numId="2" w16cid:durableId="1629507696">
    <w:abstractNumId w:val="0"/>
  </w:num>
  <w:num w:numId="3" w16cid:durableId="1376196380">
    <w:abstractNumId w:val="1"/>
  </w:num>
  <w:num w:numId="4" w16cid:durableId="485048882">
    <w:abstractNumId w:val="6"/>
  </w:num>
  <w:num w:numId="5" w16cid:durableId="1833721433">
    <w:abstractNumId w:val="2"/>
  </w:num>
  <w:num w:numId="6" w16cid:durableId="1674841429">
    <w:abstractNumId w:val="3"/>
  </w:num>
  <w:num w:numId="7" w16cid:durableId="1350446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480572"/>
    <w:rsid w:val="00002F1B"/>
    <w:rsid w:val="00003532"/>
    <w:rsid w:val="000057BB"/>
    <w:rsid w:val="0000778D"/>
    <w:rsid w:val="00012333"/>
    <w:rsid w:val="00012F07"/>
    <w:rsid w:val="00017507"/>
    <w:rsid w:val="000239CE"/>
    <w:rsid w:val="00023C5A"/>
    <w:rsid w:val="00027989"/>
    <w:rsid w:val="00030E0E"/>
    <w:rsid w:val="00033ECB"/>
    <w:rsid w:val="00034090"/>
    <w:rsid w:val="0003456C"/>
    <w:rsid w:val="000366B7"/>
    <w:rsid w:val="000402A0"/>
    <w:rsid w:val="000413C6"/>
    <w:rsid w:val="00043656"/>
    <w:rsid w:val="00043682"/>
    <w:rsid w:val="000457B1"/>
    <w:rsid w:val="00054473"/>
    <w:rsid w:val="000563D1"/>
    <w:rsid w:val="00065269"/>
    <w:rsid w:val="00065443"/>
    <w:rsid w:val="00067F54"/>
    <w:rsid w:val="0007081C"/>
    <w:rsid w:val="00072BEA"/>
    <w:rsid w:val="000822FD"/>
    <w:rsid w:val="000842B6"/>
    <w:rsid w:val="000A05FA"/>
    <w:rsid w:val="000A182E"/>
    <w:rsid w:val="000A5A81"/>
    <w:rsid w:val="000A5E03"/>
    <w:rsid w:val="000A7D06"/>
    <w:rsid w:val="000B4F47"/>
    <w:rsid w:val="000C22DC"/>
    <w:rsid w:val="000C4B13"/>
    <w:rsid w:val="000C55E7"/>
    <w:rsid w:val="000C5EE7"/>
    <w:rsid w:val="000C760E"/>
    <w:rsid w:val="000D0C0E"/>
    <w:rsid w:val="000D2174"/>
    <w:rsid w:val="000D3C6E"/>
    <w:rsid w:val="000E3213"/>
    <w:rsid w:val="000E4774"/>
    <w:rsid w:val="000F2062"/>
    <w:rsid w:val="00102E73"/>
    <w:rsid w:val="00103157"/>
    <w:rsid w:val="00105577"/>
    <w:rsid w:val="001103B1"/>
    <w:rsid w:val="001118BA"/>
    <w:rsid w:val="0012113A"/>
    <w:rsid w:val="0012584D"/>
    <w:rsid w:val="001269A3"/>
    <w:rsid w:val="00127642"/>
    <w:rsid w:val="00130001"/>
    <w:rsid w:val="00135A7D"/>
    <w:rsid w:val="00143F62"/>
    <w:rsid w:val="00152DE1"/>
    <w:rsid w:val="001605BC"/>
    <w:rsid w:val="001617C1"/>
    <w:rsid w:val="00161A52"/>
    <w:rsid w:val="00161DE4"/>
    <w:rsid w:val="001632E8"/>
    <w:rsid w:val="00166C7C"/>
    <w:rsid w:val="00173973"/>
    <w:rsid w:val="00177765"/>
    <w:rsid w:val="0018290A"/>
    <w:rsid w:val="00194C83"/>
    <w:rsid w:val="00196041"/>
    <w:rsid w:val="001A0F6A"/>
    <w:rsid w:val="001A3BB8"/>
    <w:rsid w:val="001A7A96"/>
    <w:rsid w:val="001B3A46"/>
    <w:rsid w:val="001E1B71"/>
    <w:rsid w:val="001E215F"/>
    <w:rsid w:val="001E232F"/>
    <w:rsid w:val="001E33EA"/>
    <w:rsid w:val="001E4031"/>
    <w:rsid w:val="001E4721"/>
    <w:rsid w:val="001E4807"/>
    <w:rsid w:val="001E5BB9"/>
    <w:rsid w:val="001F0610"/>
    <w:rsid w:val="001F19C2"/>
    <w:rsid w:val="001F4F30"/>
    <w:rsid w:val="001F70AB"/>
    <w:rsid w:val="00200FFC"/>
    <w:rsid w:val="002071A8"/>
    <w:rsid w:val="00211D50"/>
    <w:rsid w:val="00214DBD"/>
    <w:rsid w:val="00215AD3"/>
    <w:rsid w:val="00221616"/>
    <w:rsid w:val="00221714"/>
    <w:rsid w:val="002333AA"/>
    <w:rsid w:val="0024109D"/>
    <w:rsid w:val="00244F83"/>
    <w:rsid w:val="00251160"/>
    <w:rsid w:val="00256EF6"/>
    <w:rsid w:val="00262AB5"/>
    <w:rsid w:val="00265177"/>
    <w:rsid w:val="00265B3F"/>
    <w:rsid w:val="00275531"/>
    <w:rsid w:val="00294F30"/>
    <w:rsid w:val="002A3315"/>
    <w:rsid w:val="002A3C93"/>
    <w:rsid w:val="002A50E7"/>
    <w:rsid w:val="002B1A37"/>
    <w:rsid w:val="002B21BF"/>
    <w:rsid w:val="002B3932"/>
    <w:rsid w:val="002B4200"/>
    <w:rsid w:val="002C0F3A"/>
    <w:rsid w:val="002C56C1"/>
    <w:rsid w:val="002C6DEB"/>
    <w:rsid w:val="002D17A6"/>
    <w:rsid w:val="002D21E1"/>
    <w:rsid w:val="002D619A"/>
    <w:rsid w:val="002E283C"/>
    <w:rsid w:val="002E718F"/>
    <w:rsid w:val="002F1FC5"/>
    <w:rsid w:val="002F2508"/>
    <w:rsid w:val="002F4E29"/>
    <w:rsid w:val="002F6201"/>
    <w:rsid w:val="002F7BF6"/>
    <w:rsid w:val="00301158"/>
    <w:rsid w:val="00301437"/>
    <w:rsid w:val="003064BC"/>
    <w:rsid w:val="0031219B"/>
    <w:rsid w:val="003149FF"/>
    <w:rsid w:val="003210F5"/>
    <w:rsid w:val="0032187D"/>
    <w:rsid w:val="003236D1"/>
    <w:rsid w:val="00323F21"/>
    <w:rsid w:val="00324F83"/>
    <w:rsid w:val="00326DCB"/>
    <w:rsid w:val="003338DF"/>
    <w:rsid w:val="00333906"/>
    <w:rsid w:val="0033683A"/>
    <w:rsid w:val="00340D05"/>
    <w:rsid w:val="00340F89"/>
    <w:rsid w:val="0034150B"/>
    <w:rsid w:val="00343B81"/>
    <w:rsid w:val="003464AE"/>
    <w:rsid w:val="0034668F"/>
    <w:rsid w:val="003572B7"/>
    <w:rsid w:val="0035DD13"/>
    <w:rsid w:val="00361FB2"/>
    <w:rsid w:val="003627CD"/>
    <w:rsid w:val="003639CC"/>
    <w:rsid w:val="003703BB"/>
    <w:rsid w:val="00370C0D"/>
    <w:rsid w:val="00371ED9"/>
    <w:rsid w:val="0037561F"/>
    <w:rsid w:val="003774BD"/>
    <w:rsid w:val="003841BF"/>
    <w:rsid w:val="00386F45"/>
    <w:rsid w:val="003872DA"/>
    <w:rsid w:val="00393490"/>
    <w:rsid w:val="003A5C79"/>
    <w:rsid w:val="003B1349"/>
    <w:rsid w:val="003B7DC1"/>
    <w:rsid w:val="003C1EBB"/>
    <w:rsid w:val="003C713D"/>
    <w:rsid w:val="003D2932"/>
    <w:rsid w:val="003E55F3"/>
    <w:rsid w:val="003F07C1"/>
    <w:rsid w:val="003F3C9A"/>
    <w:rsid w:val="003F663F"/>
    <w:rsid w:val="00406952"/>
    <w:rsid w:val="0041261A"/>
    <w:rsid w:val="00413DFB"/>
    <w:rsid w:val="00417328"/>
    <w:rsid w:val="00417EBE"/>
    <w:rsid w:val="0042775F"/>
    <w:rsid w:val="00431FEF"/>
    <w:rsid w:val="0043446D"/>
    <w:rsid w:val="00442188"/>
    <w:rsid w:val="00454468"/>
    <w:rsid w:val="00454D99"/>
    <w:rsid w:val="00454E2E"/>
    <w:rsid w:val="00455028"/>
    <w:rsid w:val="00461548"/>
    <w:rsid w:val="004647E8"/>
    <w:rsid w:val="00465F14"/>
    <w:rsid w:val="00475655"/>
    <w:rsid w:val="004802A3"/>
    <w:rsid w:val="00480DE3"/>
    <w:rsid w:val="004827BB"/>
    <w:rsid w:val="00483A32"/>
    <w:rsid w:val="00487838"/>
    <w:rsid w:val="00487A4E"/>
    <w:rsid w:val="004920C7"/>
    <w:rsid w:val="004950D0"/>
    <w:rsid w:val="0049569A"/>
    <w:rsid w:val="00496D47"/>
    <w:rsid w:val="004A16D7"/>
    <w:rsid w:val="004A3309"/>
    <w:rsid w:val="004A355D"/>
    <w:rsid w:val="004A35F9"/>
    <w:rsid w:val="004A47C1"/>
    <w:rsid w:val="004A5F12"/>
    <w:rsid w:val="004A66CF"/>
    <w:rsid w:val="004A7657"/>
    <w:rsid w:val="004B3900"/>
    <w:rsid w:val="004B4CA4"/>
    <w:rsid w:val="004C01F1"/>
    <w:rsid w:val="004C0E76"/>
    <w:rsid w:val="004C1593"/>
    <w:rsid w:val="004C2B27"/>
    <w:rsid w:val="004C33EF"/>
    <w:rsid w:val="004C37FD"/>
    <w:rsid w:val="004C3B90"/>
    <w:rsid w:val="004C495A"/>
    <w:rsid w:val="004C5165"/>
    <w:rsid w:val="004C623C"/>
    <w:rsid w:val="004D2C90"/>
    <w:rsid w:val="004D67D1"/>
    <w:rsid w:val="004D6869"/>
    <w:rsid w:val="004E3D5C"/>
    <w:rsid w:val="004F0F56"/>
    <w:rsid w:val="004F7BA3"/>
    <w:rsid w:val="005025FE"/>
    <w:rsid w:val="005052E3"/>
    <w:rsid w:val="00513B93"/>
    <w:rsid w:val="00516776"/>
    <w:rsid w:val="005179FB"/>
    <w:rsid w:val="005248D2"/>
    <w:rsid w:val="00530067"/>
    <w:rsid w:val="00530425"/>
    <w:rsid w:val="00531AEF"/>
    <w:rsid w:val="005350DF"/>
    <w:rsid w:val="00540155"/>
    <w:rsid w:val="00541C18"/>
    <w:rsid w:val="00542E05"/>
    <w:rsid w:val="0054489C"/>
    <w:rsid w:val="00544B69"/>
    <w:rsid w:val="005478A6"/>
    <w:rsid w:val="00547B74"/>
    <w:rsid w:val="00550586"/>
    <w:rsid w:val="00552689"/>
    <w:rsid w:val="005541F6"/>
    <w:rsid w:val="005627E6"/>
    <w:rsid w:val="0056657E"/>
    <w:rsid w:val="005676AA"/>
    <w:rsid w:val="00567B77"/>
    <w:rsid w:val="005718F4"/>
    <w:rsid w:val="00574901"/>
    <w:rsid w:val="0057521D"/>
    <w:rsid w:val="005758CB"/>
    <w:rsid w:val="00592CDF"/>
    <w:rsid w:val="005950EB"/>
    <w:rsid w:val="00597DF3"/>
    <w:rsid w:val="005B5AE4"/>
    <w:rsid w:val="005B7D70"/>
    <w:rsid w:val="005D0466"/>
    <w:rsid w:val="005D1548"/>
    <w:rsid w:val="005D65D3"/>
    <w:rsid w:val="005D73D7"/>
    <w:rsid w:val="005D7A34"/>
    <w:rsid w:val="005E2DC6"/>
    <w:rsid w:val="005E3B86"/>
    <w:rsid w:val="005E3C9F"/>
    <w:rsid w:val="005F054A"/>
    <w:rsid w:val="005F0CE4"/>
    <w:rsid w:val="005F2C39"/>
    <w:rsid w:val="005F33FF"/>
    <w:rsid w:val="005F37AA"/>
    <w:rsid w:val="005F4443"/>
    <w:rsid w:val="005F4AF4"/>
    <w:rsid w:val="005F4F3E"/>
    <w:rsid w:val="0060212A"/>
    <w:rsid w:val="00603088"/>
    <w:rsid w:val="00603AF8"/>
    <w:rsid w:val="00611486"/>
    <w:rsid w:val="00613F62"/>
    <w:rsid w:val="0061426B"/>
    <w:rsid w:val="00615D46"/>
    <w:rsid w:val="00616BE6"/>
    <w:rsid w:val="00627150"/>
    <w:rsid w:val="00632AB5"/>
    <w:rsid w:val="00646E15"/>
    <w:rsid w:val="00650CE6"/>
    <w:rsid w:val="00652849"/>
    <w:rsid w:val="0065439B"/>
    <w:rsid w:val="00655141"/>
    <w:rsid w:val="00657065"/>
    <w:rsid w:val="006642EB"/>
    <w:rsid w:val="006700AC"/>
    <w:rsid w:val="00671B5A"/>
    <w:rsid w:val="0067363A"/>
    <w:rsid w:val="0067367E"/>
    <w:rsid w:val="00674531"/>
    <w:rsid w:val="00674904"/>
    <w:rsid w:val="00682A6F"/>
    <w:rsid w:val="00685F0B"/>
    <w:rsid w:val="00687E7F"/>
    <w:rsid w:val="006945FA"/>
    <w:rsid w:val="00697214"/>
    <w:rsid w:val="0069733E"/>
    <w:rsid w:val="006A1A61"/>
    <w:rsid w:val="006A31C5"/>
    <w:rsid w:val="006A4120"/>
    <w:rsid w:val="006A530A"/>
    <w:rsid w:val="006A58DD"/>
    <w:rsid w:val="006A59A5"/>
    <w:rsid w:val="006A694B"/>
    <w:rsid w:val="006A7353"/>
    <w:rsid w:val="006B4805"/>
    <w:rsid w:val="006B79FD"/>
    <w:rsid w:val="006C0849"/>
    <w:rsid w:val="006C0E50"/>
    <w:rsid w:val="006C49A3"/>
    <w:rsid w:val="006C51D8"/>
    <w:rsid w:val="006D0652"/>
    <w:rsid w:val="006D0FFC"/>
    <w:rsid w:val="006D1106"/>
    <w:rsid w:val="006D116D"/>
    <w:rsid w:val="006D2F74"/>
    <w:rsid w:val="006D364B"/>
    <w:rsid w:val="006D3C2B"/>
    <w:rsid w:val="006D5D91"/>
    <w:rsid w:val="006D7AAF"/>
    <w:rsid w:val="006E18D4"/>
    <w:rsid w:val="006E1F5B"/>
    <w:rsid w:val="006E30F1"/>
    <w:rsid w:val="006E4114"/>
    <w:rsid w:val="006E6713"/>
    <w:rsid w:val="006E6CDF"/>
    <w:rsid w:val="006F5AD7"/>
    <w:rsid w:val="006F70BC"/>
    <w:rsid w:val="006F7E79"/>
    <w:rsid w:val="0070796E"/>
    <w:rsid w:val="00712FA4"/>
    <w:rsid w:val="00716AEA"/>
    <w:rsid w:val="00716C92"/>
    <w:rsid w:val="00720D04"/>
    <w:rsid w:val="00722976"/>
    <w:rsid w:val="007334D0"/>
    <w:rsid w:val="007334FF"/>
    <w:rsid w:val="00734A35"/>
    <w:rsid w:val="00737B9B"/>
    <w:rsid w:val="00742E59"/>
    <w:rsid w:val="00750800"/>
    <w:rsid w:val="00750F4B"/>
    <w:rsid w:val="007515D0"/>
    <w:rsid w:val="007531F3"/>
    <w:rsid w:val="00753C10"/>
    <w:rsid w:val="0075519C"/>
    <w:rsid w:val="007627A4"/>
    <w:rsid w:val="0076328A"/>
    <w:rsid w:val="00766C3C"/>
    <w:rsid w:val="0078015A"/>
    <w:rsid w:val="007810D8"/>
    <w:rsid w:val="007813F5"/>
    <w:rsid w:val="00782D3B"/>
    <w:rsid w:val="00783F11"/>
    <w:rsid w:val="007877BB"/>
    <w:rsid w:val="007904C0"/>
    <w:rsid w:val="007A103A"/>
    <w:rsid w:val="007A129A"/>
    <w:rsid w:val="007A2A92"/>
    <w:rsid w:val="007B3AF3"/>
    <w:rsid w:val="007B4346"/>
    <w:rsid w:val="007B46E3"/>
    <w:rsid w:val="007C3E33"/>
    <w:rsid w:val="007D5075"/>
    <w:rsid w:val="007E3AAF"/>
    <w:rsid w:val="007E686F"/>
    <w:rsid w:val="007E73D9"/>
    <w:rsid w:val="007F120F"/>
    <w:rsid w:val="007F556B"/>
    <w:rsid w:val="00804EFD"/>
    <w:rsid w:val="00804FBE"/>
    <w:rsid w:val="00806D95"/>
    <w:rsid w:val="008078BE"/>
    <w:rsid w:val="00810A67"/>
    <w:rsid w:val="00817557"/>
    <w:rsid w:val="008316FA"/>
    <w:rsid w:val="00851030"/>
    <w:rsid w:val="0085153D"/>
    <w:rsid w:val="00854902"/>
    <w:rsid w:val="00854AC8"/>
    <w:rsid w:val="0085756B"/>
    <w:rsid w:val="0087070C"/>
    <w:rsid w:val="00870DE4"/>
    <w:rsid w:val="00875B2D"/>
    <w:rsid w:val="0087618A"/>
    <w:rsid w:val="008774B0"/>
    <w:rsid w:val="00881C08"/>
    <w:rsid w:val="00886A92"/>
    <w:rsid w:val="008943A6"/>
    <w:rsid w:val="0089459A"/>
    <w:rsid w:val="0089467E"/>
    <w:rsid w:val="008A0400"/>
    <w:rsid w:val="008A1421"/>
    <w:rsid w:val="008A3C87"/>
    <w:rsid w:val="008A5C8E"/>
    <w:rsid w:val="008B1BF7"/>
    <w:rsid w:val="008B5692"/>
    <w:rsid w:val="008B6F10"/>
    <w:rsid w:val="008B7C03"/>
    <w:rsid w:val="008C1398"/>
    <w:rsid w:val="008D09B5"/>
    <w:rsid w:val="008D5C3D"/>
    <w:rsid w:val="008E4142"/>
    <w:rsid w:val="008E57BB"/>
    <w:rsid w:val="008F3B74"/>
    <w:rsid w:val="008F5BF8"/>
    <w:rsid w:val="009004A1"/>
    <w:rsid w:val="00903EDA"/>
    <w:rsid w:val="009102E5"/>
    <w:rsid w:val="00911761"/>
    <w:rsid w:val="00912533"/>
    <w:rsid w:val="009149B1"/>
    <w:rsid w:val="00917EEA"/>
    <w:rsid w:val="00921575"/>
    <w:rsid w:val="00922610"/>
    <w:rsid w:val="00923294"/>
    <w:rsid w:val="00925679"/>
    <w:rsid w:val="009273C1"/>
    <w:rsid w:val="00931640"/>
    <w:rsid w:val="00932E40"/>
    <w:rsid w:val="009407C4"/>
    <w:rsid w:val="00947BF8"/>
    <w:rsid w:val="009540CB"/>
    <w:rsid w:val="009571F8"/>
    <w:rsid w:val="00960D84"/>
    <w:rsid w:val="00960EF5"/>
    <w:rsid w:val="0096362E"/>
    <w:rsid w:val="00967AEA"/>
    <w:rsid w:val="00970294"/>
    <w:rsid w:val="00973599"/>
    <w:rsid w:val="009756D5"/>
    <w:rsid w:val="00987009"/>
    <w:rsid w:val="00990FEB"/>
    <w:rsid w:val="00991E82"/>
    <w:rsid w:val="00992946"/>
    <w:rsid w:val="00994E3A"/>
    <w:rsid w:val="00997530"/>
    <w:rsid w:val="009A46DE"/>
    <w:rsid w:val="009A7277"/>
    <w:rsid w:val="009B03AD"/>
    <w:rsid w:val="009B2CAC"/>
    <w:rsid w:val="009B62CA"/>
    <w:rsid w:val="009C0199"/>
    <w:rsid w:val="009C1D5D"/>
    <w:rsid w:val="009C3097"/>
    <w:rsid w:val="009C4A8F"/>
    <w:rsid w:val="009C54E9"/>
    <w:rsid w:val="009D2E31"/>
    <w:rsid w:val="009D6FEC"/>
    <w:rsid w:val="009D7973"/>
    <w:rsid w:val="009F27BF"/>
    <w:rsid w:val="009F6367"/>
    <w:rsid w:val="009F6B0C"/>
    <w:rsid w:val="009F7EBD"/>
    <w:rsid w:val="00A008D5"/>
    <w:rsid w:val="00A01012"/>
    <w:rsid w:val="00A01459"/>
    <w:rsid w:val="00A049C6"/>
    <w:rsid w:val="00A0535D"/>
    <w:rsid w:val="00A062F0"/>
    <w:rsid w:val="00A06ED3"/>
    <w:rsid w:val="00A104B5"/>
    <w:rsid w:val="00A124F3"/>
    <w:rsid w:val="00A13F34"/>
    <w:rsid w:val="00A160C4"/>
    <w:rsid w:val="00A17811"/>
    <w:rsid w:val="00A25CA5"/>
    <w:rsid w:val="00A27B98"/>
    <w:rsid w:val="00A33273"/>
    <w:rsid w:val="00A34216"/>
    <w:rsid w:val="00A3484F"/>
    <w:rsid w:val="00A3582C"/>
    <w:rsid w:val="00A35C7A"/>
    <w:rsid w:val="00A413D6"/>
    <w:rsid w:val="00A4308C"/>
    <w:rsid w:val="00A468B9"/>
    <w:rsid w:val="00A46AC8"/>
    <w:rsid w:val="00A50463"/>
    <w:rsid w:val="00A55C48"/>
    <w:rsid w:val="00A60272"/>
    <w:rsid w:val="00A620AD"/>
    <w:rsid w:val="00A641CB"/>
    <w:rsid w:val="00A74CDD"/>
    <w:rsid w:val="00A8116E"/>
    <w:rsid w:val="00A81438"/>
    <w:rsid w:val="00A852D1"/>
    <w:rsid w:val="00A85DA7"/>
    <w:rsid w:val="00A952D3"/>
    <w:rsid w:val="00A95D95"/>
    <w:rsid w:val="00A97121"/>
    <w:rsid w:val="00A97BCF"/>
    <w:rsid w:val="00AA01ED"/>
    <w:rsid w:val="00AA743B"/>
    <w:rsid w:val="00AB2699"/>
    <w:rsid w:val="00AB3F7A"/>
    <w:rsid w:val="00AC11C8"/>
    <w:rsid w:val="00AC64CD"/>
    <w:rsid w:val="00AD37DC"/>
    <w:rsid w:val="00AD5B25"/>
    <w:rsid w:val="00AD7B2C"/>
    <w:rsid w:val="00AE24B5"/>
    <w:rsid w:val="00AE3264"/>
    <w:rsid w:val="00AE3E86"/>
    <w:rsid w:val="00AE420C"/>
    <w:rsid w:val="00AE6E91"/>
    <w:rsid w:val="00AF40D3"/>
    <w:rsid w:val="00AF53B2"/>
    <w:rsid w:val="00AF62FE"/>
    <w:rsid w:val="00B01B84"/>
    <w:rsid w:val="00B01DDD"/>
    <w:rsid w:val="00B054CA"/>
    <w:rsid w:val="00B06B19"/>
    <w:rsid w:val="00B07FCF"/>
    <w:rsid w:val="00B109E3"/>
    <w:rsid w:val="00B11330"/>
    <w:rsid w:val="00B114FC"/>
    <w:rsid w:val="00B11FA9"/>
    <w:rsid w:val="00B155AE"/>
    <w:rsid w:val="00B20D9C"/>
    <w:rsid w:val="00B23570"/>
    <w:rsid w:val="00B2451F"/>
    <w:rsid w:val="00B3326B"/>
    <w:rsid w:val="00B35347"/>
    <w:rsid w:val="00B3562C"/>
    <w:rsid w:val="00B35782"/>
    <w:rsid w:val="00B42CA9"/>
    <w:rsid w:val="00B4410C"/>
    <w:rsid w:val="00B45245"/>
    <w:rsid w:val="00B45F7D"/>
    <w:rsid w:val="00B52233"/>
    <w:rsid w:val="00B52665"/>
    <w:rsid w:val="00B67AA1"/>
    <w:rsid w:val="00B72333"/>
    <w:rsid w:val="00B74009"/>
    <w:rsid w:val="00B8138C"/>
    <w:rsid w:val="00B81B9F"/>
    <w:rsid w:val="00B96A1E"/>
    <w:rsid w:val="00BA7B71"/>
    <w:rsid w:val="00BA7C07"/>
    <w:rsid w:val="00BB2768"/>
    <w:rsid w:val="00BB5C4E"/>
    <w:rsid w:val="00BB790C"/>
    <w:rsid w:val="00BC0C86"/>
    <w:rsid w:val="00BC0CFE"/>
    <w:rsid w:val="00BC5427"/>
    <w:rsid w:val="00BD101E"/>
    <w:rsid w:val="00BD2699"/>
    <w:rsid w:val="00BD56AA"/>
    <w:rsid w:val="00BE3AE1"/>
    <w:rsid w:val="00BE66C3"/>
    <w:rsid w:val="00BE6F8D"/>
    <w:rsid w:val="00BF50C3"/>
    <w:rsid w:val="00BF6423"/>
    <w:rsid w:val="00C00ECC"/>
    <w:rsid w:val="00C0510A"/>
    <w:rsid w:val="00C17C80"/>
    <w:rsid w:val="00C2076F"/>
    <w:rsid w:val="00C21AB8"/>
    <w:rsid w:val="00C2217F"/>
    <w:rsid w:val="00C43D0B"/>
    <w:rsid w:val="00C5038E"/>
    <w:rsid w:val="00C52674"/>
    <w:rsid w:val="00C53A98"/>
    <w:rsid w:val="00C54692"/>
    <w:rsid w:val="00C54F84"/>
    <w:rsid w:val="00C55F5D"/>
    <w:rsid w:val="00C623AE"/>
    <w:rsid w:val="00C62744"/>
    <w:rsid w:val="00C71EA1"/>
    <w:rsid w:val="00C7516B"/>
    <w:rsid w:val="00C93A81"/>
    <w:rsid w:val="00CA321D"/>
    <w:rsid w:val="00CB0A1D"/>
    <w:rsid w:val="00CB0FB5"/>
    <w:rsid w:val="00CB2DDB"/>
    <w:rsid w:val="00CB4C2C"/>
    <w:rsid w:val="00CB720E"/>
    <w:rsid w:val="00CC0C96"/>
    <w:rsid w:val="00CC1ACE"/>
    <w:rsid w:val="00CC1FBD"/>
    <w:rsid w:val="00CD14BA"/>
    <w:rsid w:val="00CD6611"/>
    <w:rsid w:val="00CD7B30"/>
    <w:rsid w:val="00CE2B33"/>
    <w:rsid w:val="00CE50E2"/>
    <w:rsid w:val="00CF0C4D"/>
    <w:rsid w:val="00CF1E0A"/>
    <w:rsid w:val="00CF25D7"/>
    <w:rsid w:val="00CF73DA"/>
    <w:rsid w:val="00D010AD"/>
    <w:rsid w:val="00D05B44"/>
    <w:rsid w:val="00D13A2B"/>
    <w:rsid w:val="00D149EF"/>
    <w:rsid w:val="00D14B01"/>
    <w:rsid w:val="00D1571D"/>
    <w:rsid w:val="00D17CD1"/>
    <w:rsid w:val="00D2002F"/>
    <w:rsid w:val="00D31BA8"/>
    <w:rsid w:val="00D32673"/>
    <w:rsid w:val="00D32B75"/>
    <w:rsid w:val="00D40434"/>
    <w:rsid w:val="00D41DC9"/>
    <w:rsid w:val="00D4281A"/>
    <w:rsid w:val="00D42B51"/>
    <w:rsid w:val="00D4655B"/>
    <w:rsid w:val="00D51F8D"/>
    <w:rsid w:val="00D6021E"/>
    <w:rsid w:val="00D64CBE"/>
    <w:rsid w:val="00D6760D"/>
    <w:rsid w:val="00D74789"/>
    <w:rsid w:val="00D75DC7"/>
    <w:rsid w:val="00D76E3F"/>
    <w:rsid w:val="00D804C3"/>
    <w:rsid w:val="00D843E8"/>
    <w:rsid w:val="00D8640A"/>
    <w:rsid w:val="00D90949"/>
    <w:rsid w:val="00D95CA4"/>
    <w:rsid w:val="00D97065"/>
    <w:rsid w:val="00DB004D"/>
    <w:rsid w:val="00DB4708"/>
    <w:rsid w:val="00DB5926"/>
    <w:rsid w:val="00DC197C"/>
    <w:rsid w:val="00DC2D07"/>
    <w:rsid w:val="00DC3A8A"/>
    <w:rsid w:val="00DD0E50"/>
    <w:rsid w:val="00DD68F4"/>
    <w:rsid w:val="00DD6A02"/>
    <w:rsid w:val="00DE3506"/>
    <w:rsid w:val="00DE353A"/>
    <w:rsid w:val="00DE3CF2"/>
    <w:rsid w:val="00DE4765"/>
    <w:rsid w:val="00DE5289"/>
    <w:rsid w:val="00DE5D16"/>
    <w:rsid w:val="00DF0CFD"/>
    <w:rsid w:val="00E00D2C"/>
    <w:rsid w:val="00E05198"/>
    <w:rsid w:val="00E052C0"/>
    <w:rsid w:val="00E079EC"/>
    <w:rsid w:val="00E13222"/>
    <w:rsid w:val="00E13493"/>
    <w:rsid w:val="00E2045C"/>
    <w:rsid w:val="00E20651"/>
    <w:rsid w:val="00E219FE"/>
    <w:rsid w:val="00E21F48"/>
    <w:rsid w:val="00E24A33"/>
    <w:rsid w:val="00E3196D"/>
    <w:rsid w:val="00E334EC"/>
    <w:rsid w:val="00E336A3"/>
    <w:rsid w:val="00E4235E"/>
    <w:rsid w:val="00E47E87"/>
    <w:rsid w:val="00E50053"/>
    <w:rsid w:val="00E51B6C"/>
    <w:rsid w:val="00E534B6"/>
    <w:rsid w:val="00E563B6"/>
    <w:rsid w:val="00E57706"/>
    <w:rsid w:val="00E605C3"/>
    <w:rsid w:val="00E63902"/>
    <w:rsid w:val="00E709CF"/>
    <w:rsid w:val="00E723DC"/>
    <w:rsid w:val="00E72DF3"/>
    <w:rsid w:val="00E736DC"/>
    <w:rsid w:val="00E82561"/>
    <w:rsid w:val="00E85E73"/>
    <w:rsid w:val="00E860BB"/>
    <w:rsid w:val="00E91272"/>
    <w:rsid w:val="00E92646"/>
    <w:rsid w:val="00E9270C"/>
    <w:rsid w:val="00E9491F"/>
    <w:rsid w:val="00EA2AE2"/>
    <w:rsid w:val="00EA3B63"/>
    <w:rsid w:val="00EA6C4E"/>
    <w:rsid w:val="00EB7AD9"/>
    <w:rsid w:val="00EB7BAF"/>
    <w:rsid w:val="00EC1F8E"/>
    <w:rsid w:val="00EC3134"/>
    <w:rsid w:val="00EC4CD1"/>
    <w:rsid w:val="00EC54FD"/>
    <w:rsid w:val="00EC593A"/>
    <w:rsid w:val="00ED294C"/>
    <w:rsid w:val="00ED3673"/>
    <w:rsid w:val="00ED3AD3"/>
    <w:rsid w:val="00ED4A01"/>
    <w:rsid w:val="00ED598C"/>
    <w:rsid w:val="00ED5B65"/>
    <w:rsid w:val="00ED6DCF"/>
    <w:rsid w:val="00EE5850"/>
    <w:rsid w:val="00EE7834"/>
    <w:rsid w:val="00EE7878"/>
    <w:rsid w:val="00EE7ABB"/>
    <w:rsid w:val="00EF0A08"/>
    <w:rsid w:val="00EF26DE"/>
    <w:rsid w:val="00EF2FE0"/>
    <w:rsid w:val="00EF39E3"/>
    <w:rsid w:val="00EF40F2"/>
    <w:rsid w:val="00F0193C"/>
    <w:rsid w:val="00F14FD8"/>
    <w:rsid w:val="00F16E72"/>
    <w:rsid w:val="00F2689B"/>
    <w:rsid w:val="00F31D8B"/>
    <w:rsid w:val="00F413EA"/>
    <w:rsid w:val="00F455E9"/>
    <w:rsid w:val="00F468C2"/>
    <w:rsid w:val="00F47979"/>
    <w:rsid w:val="00F55E78"/>
    <w:rsid w:val="00F55E7D"/>
    <w:rsid w:val="00F607C2"/>
    <w:rsid w:val="00F62587"/>
    <w:rsid w:val="00F6675F"/>
    <w:rsid w:val="00F675F1"/>
    <w:rsid w:val="00F74C68"/>
    <w:rsid w:val="00F760C0"/>
    <w:rsid w:val="00F85F7A"/>
    <w:rsid w:val="00F87A76"/>
    <w:rsid w:val="00F91E84"/>
    <w:rsid w:val="00FA17E2"/>
    <w:rsid w:val="00FA618F"/>
    <w:rsid w:val="00FA6F1F"/>
    <w:rsid w:val="00FA711B"/>
    <w:rsid w:val="00FA7A04"/>
    <w:rsid w:val="00FB03F0"/>
    <w:rsid w:val="00FB3D0B"/>
    <w:rsid w:val="00FC0BFA"/>
    <w:rsid w:val="00FC138F"/>
    <w:rsid w:val="00FC4FB2"/>
    <w:rsid w:val="00FD4FFC"/>
    <w:rsid w:val="00FD5247"/>
    <w:rsid w:val="00FD7582"/>
    <w:rsid w:val="00FE2B09"/>
    <w:rsid w:val="00FE572C"/>
    <w:rsid w:val="00FF0CAE"/>
    <w:rsid w:val="00FF2298"/>
    <w:rsid w:val="00FF5489"/>
    <w:rsid w:val="00FF5737"/>
    <w:rsid w:val="00FF7854"/>
    <w:rsid w:val="00FF7BF0"/>
    <w:rsid w:val="02D2131B"/>
    <w:rsid w:val="04B5EF00"/>
    <w:rsid w:val="0A577B0B"/>
    <w:rsid w:val="0AD059EB"/>
    <w:rsid w:val="0DA9651E"/>
    <w:rsid w:val="0DC740A1"/>
    <w:rsid w:val="0F439F1D"/>
    <w:rsid w:val="109E2FD0"/>
    <w:rsid w:val="11BC94F8"/>
    <w:rsid w:val="139537A3"/>
    <w:rsid w:val="18D4ADBB"/>
    <w:rsid w:val="1932BDEA"/>
    <w:rsid w:val="1BE5C9EE"/>
    <w:rsid w:val="1E4573E4"/>
    <w:rsid w:val="1FFFBF41"/>
    <w:rsid w:val="2685A89E"/>
    <w:rsid w:val="2C1FDE7B"/>
    <w:rsid w:val="329E3CF0"/>
    <w:rsid w:val="337054B0"/>
    <w:rsid w:val="3908912A"/>
    <w:rsid w:val="3C5526C0"/>
    <w:rsid w:val="3E60AAF6"/>
    <w:rsid w:val="3E82B5D8"/>
    <w:rsid w:val="3ED7D5D2"/>
    <w:rsid w:val="3F054992"/>
    <w:rsid w:val="3F75A619"/>
    <w:rsid w:val="3FA7BBEE"/>
    <w:rsid w:val="40BD277C"/>
    <w:rsid w:val="40C06E5F"/>
    <w:rsid w:val="4471CD48"/>
    <w:rsid w:val="44ADF92F"/>
    <w:rsid w:val="45C3727D"/>
    <w:rsid w:val="48920D92"/>
    <w:rsid w:val="4BBAF703"/>
    <w:rsid w:val="4BE9A581"/>
    <w:rsid w:val="4C0D19CB"/>
    <w:rsid w:val="4CCD5F0A"/>
    <w:rsid w:val="4D0052A3"/>
    <w:rsid w:val="4DF861BF"/>
    <w:rsid w:val="4F2AFEA2"/>
    <w:rsid w:val="5437D735"/>
    <w:rsid w:val="54480572"/>
    <w:rsid w:val="557F3261"/>
    <w:rsid w:val="56D48CB1"/>
    <w:rsid w:val="5AA65A4C"/>
    <w:rsid w:val="5F1C825A"/>
    <w:rsid w:val="60B9C107"/>
    <w:rsid w:val="613F7D00"/>
    <w:rsid w:val="6158A5BF"/>
    <w:rsid w:val="6261DC56"/>
    <w:rsid w:val="62A1BE43"/>
    <w:rsid w:val="703A805B"/>
    <w:rsid w:val="70B84AFF"/>
    <w:rsid w:val="7275A6E7"/>
    <w:rsid w:val="72BEA413"/>
    <w:rsid w:val="730E0985"/>
    <w:rsid w:val="74772FEC"/>
    <w:rsid w:val="7559014C"/>
    <w:rsid w:val="756CD6A1"/>
    <w:rsid w:val="75D096CD"/>
    <w:rsid w:val="7A29C521"/>
    <w:rsid w:val="7C1150E3"/>
    <w:rsid w:val="7CC65745"/>
    <w:rsid w:val="7FCD7E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80572"/>
  <w15:chartTrackingRefBased/>
  <w15:docId w15:val="{CB1A57E9-7728-4023-B911-132C873B0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44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6544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065443"/>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rsid w:val="004878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83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65443"/>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065443"/>
    <w:rPr>
      <w:rFonts w:asciiTheme="majorHAnsi" w:eastAsiaTheme="majorEastAsia" w:hAnsiTheme="majorHAnsi" w:cstheme="majorBidi"/>
      <w:color w:val="0A2F40" w:themeColor="accent1" w:themeShade="7F"/>
    </w:rPr>
  </w:style>
  <w:style w:type="character" w:customStyle="1" w:styleId="Heading1Char">
    <w:name w:val="Heading 1 Char"/>
    <w:basedOn w:val="DefaultParagraphFont"/>
    <w:link w:val="Heading1"/>
    <w:uiPriority w:val="9"/>
    <w:rsid w:val="00065443"/>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39"/>
    <w:rsid w:val="00BF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2002F"/>
    <w:pPr>
      <w:spacing w:line="259" w:lineRule="auto"/>
      <w:outlineLvl w:val="9"/>
    </w:pPr>
    <w:rPr>
      <w:lang w:eastAsia="en-US"/>
    </w:rPr>
  </w:style>
  <w:style w:type="paragraph" w:styleId="TOC1">
    <w:name w:val="toc 1"/>
    <w:basedOn w:val="Normal"/>
    <w:next w:val="Normal"/>
    <w:autoRedefine/>
    <w:uiPriority w:val="39"/>
    <w:unhideWhenUsed/>
    <w:rsid w:val="00D2002F"/>
    <w:pPr>
      <w:spacing w:after="100"/>
    </w:pPr>
  </w:style>
  <w:style w:type="paragraph" w:styleId="TOC2">
    <w:name w:val="toc 2"/>
    <w:basedOn w:val="Normal"/>
    <w:next w:val="Normal"/>
    <w:autoRedefine/>
    <w:uiPriority w:val="39"/>
    <w:unhideWhenUsed/>
    <w:rsid w:val="00D2002F"/>
    <w:pPr>
      <w:spacing w:after="100"/>
      <w:ind w:left="240"/>
    </w:pPr>
  </w:style>
  <w:style w:type="paragraph" w:styleId="TOC3">
    <w:name w:val="toc 3"/>
    <w:basedOn w:val="Normal"/>
    <w:next w:val="Normal"/>
    <w:autoRedefine/>
    <w:uiPriority w:val="39"/>
    <w:unhideWhenUsed/>
    <w:rsid w:val="00D2002F"/>
    <w:pPr>
      <w:spacing w:after="100"/>
      <w:ind w:left="480"/>
    </w:pPr>
  </w:style>
  <w:style w:type="character" w:styleId="Hyperlink">
    <w:name w:val="Hyperlink"/>
    <w:basedOn w:val="DefaultParagraphFont"/>
    <w:uiPriority w:val="99"/>
    <w:unhideWhenUsed/>
    <w:rsid w:val="00D2002F"/>
    <w:rPr>
      <w:color w:val="467886" w:themeColor="hyperlink"/>
      <w:u w:val="single"/>
    </w:rPr>
  </w:style>
  <w:style w:type="paragraph" w:styleId="Header">
    <w:name w:val="header"/>
    <w:basedOn w:val="Normal"/>
    <w:link w:val="HeaderChar"/>
    <w:uiPriority w:val="99"/>
    <w:unhideWhenUsed/>
    <w:rsid w:val="00161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7C1"/>
  </w:style>
  <w:style w:type="paragraph" w:styleId="Footer">
    <w:name w:val="footer"/>
    <w:basedOn w:val="Normal"/>
    <w:link w:val="FooterChar"/>
    <w:uiPriority w:val="99"/>
    <w:unhideWhenUsed/>
    <w:rsid w:val="00161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7C1"/>
  </w:style>
  <w:style w:type="paragraph" w:styleId="Quote">
    <w:name w:val="Quote"/>
    <w:basedOn w:val="Normal"/>
    <w:next w:val="Normal"/>
    <w:link w:val="QuoteChar"/>
    <w:uiPriority w:val="29"/>
    <w:qFormat/>
    <w:rsid w:val="007A129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A129A"/>
    <w:rPr>
      <w:i/>
      <w:iCs/>
      <w:color w:val="404040" w:themeColor="text1" w:themeTint="BF"/>
    </w:rPr>
  </w:style>
  <w:style w:type="character" w:styleId="UnresolvedMention">
    <w:name w:val="Unresolved Mention"/>
    <w:basedOn w:val="DefaultParagraphFont"/>
    <w:uiPriority w:val="99"/>
    <w:semiHidden/>
    <w:unhideWhenUsed/>
    <w:rsid w:val="009C4A8F"/>
    <w:rPr>
      <w:color w:val="605E5C"/>
      <w:shd w:val="clear" w:color="auto" w:fill="E1DFDD"/>
    </w:rPr>
  </w:style>
  <w:style w:type="character" w:styleId="CommentReference">
    <w:name w:val="annotation reference"/>
    <w:basedOn w:val="DefaultParagraphFont"/>
    <w:uiPriority w:val="99"/>
    <w:semiHidden/>
    <w:unhideWhenUsed/>
    <w:rsid w:val="00D40434"/>
    <w:rPr>
      <w:sz w:val="16"/>
      <w:szCs w:val="16"/>
    </w:rPr>
  </w:style>
  <w:style w:type="paragraph" w:styleId="CommentText">
    <w:name w:val="annotation text"/>
    <w:basedOn w:val="Normal"/>
    <w:link w:val="CommentTextChar"/>
    <w:uiPriority w:val="99"/>
    <w:unhideWhenUsed/>
    <w:rsid w:val="00D40434"/>
    <w:pPr>
      <w:spacing w:line="240" w:lineRule="auto"/>
    </w:pPr>
    <w:rPr>
      <w:sz w:val="20"/>
      <w:szCs w:val="20"/>
    </w:rPr>
  </w:style>
  <w:style w:type="character" w:customStyle="1" w:styleId="CommentTextChar">
    <w:name w:val="Comment Text Char"/>
    <w:basedOn w:val="DefaultParagraphFont"/>
    <w:link w:val="CommentText"/>
    <w:uiPriority w:val="99"/>
    <w:rsid w:val="00D40434"/>
    <w:rPr>
      <w:sz w:val="20"/>
      <w:szCs w:val="20"/>
    </w:rPr>
  </w:style>
  <w:style w:type="paragraph" w:styleId="CommentSubject">
    <w:name w:val="annotation subject"/>
    <w:basedOn w:val="CommentText"/>
    <w:next w:val="CommentText"/>
    <w:link w:val="CommentSubjectChar"/>
    <w:uiPriority w:val="99"/>
    <w:semiHidden/>
    <w:unhideWhenUsed/>
    <w:rsid w:val="00D40434"/>
    <w:rPr>
      <w:b/>
      <w:bCs/>
    </w:rPr>
  </w:style>
  <w:style w:type="character" w:customStyle="1" w:styleId="CommentSubjectChar">
    <w:name w:val="Comment Subject Char"/>
    <w:basedOn w:val="CommentTextChar"/>
    <w:link w:val="CommentSubject"/>
    <w:uiPriority w:val="99"/>
    <w:semiHidden/>
    <w:rsid w:val="00D40434"/>
    <w:rPr>
      <w:b/>
      <w:bCs/>
      <w:sz w:val="20"/>
      <w:szCs w:val="20"/>
    </w:rPr>
  </w:style>
  <w:style w:type="character" w:styleId="Mention">
    <w:name w:val="Mention"/>
    <w:basedOn w:val="DefaultParagraphFont"/>
    <w:uiPriority w:val="99"/>
    <w:unhideWhenUsed/>
    <w:rsid w:val="00D40434"/>
    <w:rPr>
      <w:color w:val="2B579A"/>
      <w:shd w:val="clear" w:color="auto" w:fill="E1DFDD"/>
    </w:rPr>
  </w:style>
  <w:style w:type="character" w:styleId="SubtleEmphasis">
    <w:name w:val="Subtle Emphasis"/>
    <w:basedOn w:val="DefaultParagraphFont"/>
    <w:uiPriority w:val="19"/>
    <w:qFormat/>
    <w:rsid w:val="000413C6"/>
    <w:rPr>
      <w:i/>
      <w:iCs/>
      <w:color w:val="404040" w:themeColor="text1" w:themeTint="BF"/>
    </w:rPr>
  </w:style>
  <w:style w:type="character" w:styleId="PlaceholderText">
    <w:name w:val="Placeholder Text"/>
    <w:basedOn w:val="DefaultParagraphFont"/>
    <w:uiPriority w:val="99"/>
    <w:semiHidden/>
    <w:rsid w:val="00E00D2C"/>
    <w:rPr>
      <w:color w:val="666666"/>
    </w:rPr>
  </w:style>
  <w:style w:type="character" w:styleId="FollowedHyperlink">
    <w:name w:val="FollowedHyperlink"/>
    <w:basedOn w:val="DefaultParagraphFont"/>
    <w:uiPriority w:val="99"/>
    <w:semiHidden/>
    <w:unhideWhenUsed/>
    <w:rsid w:val="004C623C"/>
    <w:rPr>
      <w:color w:val="96607D" w:themeColor="followedHyperlink"/>
      <w:u w:val="single"/>
    </w:rPr>
  </w:style>
  <w:style w:type="paragraph" w:styleId="Revision">
    <w:name w:val="Revision"/>
    <w:hidden/>
    <w:uiPriority w:val="99"/>
    <w:semiHidden/>
    <w:rsid w:val="006A53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78922">
      <w:bodyDiv w:val="1"/>
      <w:marLeft w:val="0"/>
      <w:marRight w:val="0"/>
      <w:marTop w:val="0"/>
      <w:marBottom w:val="0"/>
      <w:divBdr>
        <w:top w:val="none" w:sz="0" w:space="0" w:color="auto"/>
        <w:left w:val="none" w:sz="0" w:space="0" w:color="auto"/>
        <w:bottom w:val="none" w:sz="0" w:space="0" w:color="auto"/>
        <w:right w:val="none" w:sz="0" w:space="0" w:color="auto"/>
      </w:divBdr>
    </w:div>
    <w:div w:id="985009709">
      <w:bodyDiv w:val="1"/>
      <w:marLeft w:val="0"/>
      <w:marRight w:val="0"/>
      <w:marTop w:val="0"/>
      <w:marBottom w:val="0"/>
      <w:divBdr>
        <w:top w:val="none" w:sz="0" w:space="0" w:color="auto"/>
        <w:left w:val="none" w:sz="0" w:space="0" w:color="auto"/>
        <w:bottom w:val="none" w:sz="0" w:space="0" w:color="auto"/>
        <w:right w:val="none" w:sz="0" w:space="0" w:color="auto"/>
      </w:divBdr>
    </w:div>
    <w:div w:id="1191189459">
      <w:bodyDiv w:val="1"/>
      <w:marLeft w:val="0"/>
      <w:marRight w:val="0"/>
      <w:marTop w:val="0"/>
      <w:marBottom w:val="0"/>
      <w:divBdr>
        <w:top w:val="none" w:sz="0" w:space="0" w:color="auto"/>
        <w:left w:val="none" w:sz="0" w:space="0" w:color="auto"/>
        <w:bottom w:val="none" w:sz="0" w:space="0" w:color="auto"/>
        <w:right w:val="none" w:sz="0" w:space="0" w:color="auto"/>
      </w:divBdr>
      <w:divsChild>
        <w:div w:id="183444134">
          <w:marLeft w:val="0"/>
          <w:marRight w:val="0"/>
          <w:marTop w:val="0"/>
          <w:marBottom w:val="0"/>
          <w:divBdr>
            <w:top w:val="none" w:sz="0" w:space="0" w:color="auto"/>
            <w:left w:val="none" w:sz="0" w:space="0" w:color="auto"/>
            <w:bottom w:val="none" w:sz="0" w:space="0" w:color="auto"/>
            <w:right w:val="none" w:sz="0" w:space="0" w:color="auto"/>
          </w:divBdr>
        </w:div>
        <w:div w:id="596640579">
          <w:marLeft w:val="0"/>
          <w:marRight w:val="0"/>
          <w:marTop w:val="0"/>
          <w:marBottom w:val="0"/>
          <w:divBdr>
            <w:top w:val="none" w:sz="0" w:space="0" w:color="auto"/>
            <w:left w:val="none" w:sz="0" w:space="0" w:color="auto"/>
            <w:bottom w:val="none" w:sz="0" w:space="0" w:color="auto"/>
            <w:right w:val="none" w:sz="0" w:space="0" w:color="auto"/>
          </w:divBdr>
        </w:div>
        <w:div w:id="637614259">
          <w:marLeft w:val="0"/>
          <w:marRight w:val="0"/>
          <w:marTop w:val="0"/>
          <w:marBottom w:val="0"/>
          <w:divBdr>
            <w:top w:val="none" w:sz="0" w:space="0" w:color="auto"/>
            <w:left w:val="none" w:sz="0" w:space="0" w:color="auto"/>
            <w:bottom w:val="none" w:sz="0" w:space="0" w:color="auto"/>
            <w:right w:val="none" w:sz="0" w:space="0" w:color="auto"/>
          </w:divBdr>
        </w:div>
        <w:div w:id="798646200">
          <w:marLeft w:val="0"/>
          <w:marRight w:val="0"/>
          <w:marTop w:val="0"/>
          <w:marBottom w:val="0"/>
          <w:divBdr>
            <w:top w:val="none" w:sz="0" w:space="0" w:color="auto"/>
            <w:left w:val="none" w:sz="0" w:space="0" w:color="auto"/>
            <w:bottom w:val="none" w:sz="0" w:space="0" w:color="auto"/>
            <w:right w:val="none" w:sz="0" w:space="0" w:color="auto"/>
          </w:divBdr>
        </w:div>
        <w:div w:id="881751485">
          <w:marLeft w:val="0"/>
          <w:marRight w:val="0"/>
          <w:marTop w:val="0"/>
          <w:marBottom w:val="0"/>
          <w:divBdr>
            <w:top w:val="none" w:sz="0" w:space="0" w:color="auto"/>
            <w:left w:val="none" w:sz="0" w:space="0" w:color="auto"/>
            <w:bottom w:val="none" w:sz="0" w:space="0" w:color="auto"/>
            <w:right w:val="none" w:sz="0" w:space="0" w:color="auto"/>
          </w:divBdr>
        </w:div>
        <w:div w:id="1019282900">
          <w:marLeft w:val="0"/>
          <w:marRight w:val="0"/>
          <w:marTop w:val="0"/>
          <w:marBottom w:val="0"/>
          <w:divBdr>
            <w:top w:val="none" w:sz="0" w:space="0" w:color="auto"/>
            <w:left w:val="none" w:sz="0" w:space="0" w:color="auto"/>
            <w:bottom w:val="none" w:sz="0" w:space="0" w:color="auto"/>
            <w:right w:val="none" w:sz="0" w:space="0" w:color="auto"/>
          </w:divBdr>
        </w:div>
        <w:div w:id="1584532138">
          <w:marLeft w:val="0"/>
          <w:marRight w:val="0"/>
          <w:marTop w:val="0"/>
          <w:marBottom w:val="0"/>
          <w:divBdr>
            <w:top w:val="none" w:sz="0" w:space="0" w:color="auto"/>
            <w:left w:val="none" w:sz="0" w:space="0" w:color="auto"/>
            <w:bottom w:val="none" w:sz="0" w:space="0" w:color="auto"/>
            <w:right w:val="none" w:sz="0" w:space="0" w:color="auto"/>
          </w:divBdr>
        </w:div>
      </w:divsChild>
    </w:div>
    <w:div w:id="1342858412">
      <w:bodyDiv w:val="1"/>
      <w:marLeft w:val="0"/>
      <w:marRight w:val="0"/>
      <w:marTop w:val="0"/>
      <w:marBottom w:val="0"/>
      <w:divBdr>
        <w:top w:val="none" w:sz="0" w:space="0" w:color="auto"/>
        <w:left w:val="none" w:sz="0" w:space="0" w:color="auto"/>
        <w:bottom w:val="none" w:sz="0" w:space="0" w:color="auto"/>
        <w:right w:val="none" w:sz="0" w:space="0" w:color="auto"/>
      </w:divBdr>
    </w:div>
    <w:div w:id="1470129579">
      <w:bodyDiv w:val="1"/>
      <w:marLeft w:val="0"/>
      <w:marRight w:val="0"/>
      <w:marTop w:val="0"/>
      <w:marBottom w:val="0"/>
      <w:divBdr>
        <w:top w:val="none" w:sz="0" w:space="0" w:color="auto"/>
        <w:left w:val="none" w:sz="0" w:space="0" w:color="auto"/>
        <w:bottom w:val="none" w:sz="0" w:space="0" w:color="auto"/>
        <w:right w:val="none" w:sz="0" w:space="0" w:color="auto"/>
      </w:divBdr>
      <w:divsChild>
        <w:div w:id="169179280">
          <w:marLeft w:val="0"/>
          <w:marRight w:val="0"/>
          <w:marTop w:val="0"/>
          <w:marBottom w:val="0"/>
          <w:divBdr>
            <w:top w:val="none" w:sz="0" w:space="0" w:color="auto"/>
            <w:left w:val="none" w:sz="0" w:space="0" w:color="auto"/>
            <w:bottom w:val="none" w:sz="0" w:space="0" w:color="auto"/>
            <w:right w:val="none" w:sz="0" w:space="0" w:color="auto"/>
          </w:divBdr>
        </w:div>
        <w:div w:id="618534095">
          <w:marLeft w:val="0"/>
          <w:marRight w:val="0"/>
          <w:marTop w:val="0"/>
          <w:marBottom w:val="0"/>
          <w:divBdr>
            <w:top w:val="none" w:sz="0" w:space="0" w:color="auto"/>
            <w:left w:val="none" w:sz="0" w:space="0" w:color="auto"/>
            <w:bottom w:val="none" w:sz="0" w:space="0" w:color="auto"/>
            <w:right w:val="none" w:sz="0" w:space="0" w:color="auto"/>
          </w:divBdr>
        </w:div>
        <w:div w:id="685525154">
          <w:marLeft w:val="0"/>
          <w:marRight w:val="0"/>
          <w:marTop w:val="0"/>
          <w:marBottom w:val="0"/>
          <w:divBdr>
            <w:top w:val="none" w:sz="0" w:space="0" w:color="auto"/>
            <w:left w:val="none" w:sz="0" w:space="0" w:color="auto"/>
            <w:bottom w:val="none" w:sz="0" w:space="0" w:color="auto"/>
            <w:right w:val="none" w:sz="0" w:space="0" w:color="auto"/>
          </w:divBdr>
        </w:div>
        <w:div w:id="1243834319">
          <w:marLeft w:val="0"/>
          <w:marRight w:val="0"/>
          <w:marTop w:val="0"/>
          <w:marBottom w:val="0"/>
          <w:divBdr>
            <w:top w:val="none" w:sz="0" w:space="0" w:color="auto"/>
            <w:left w:val="none" w:sz="0" w:space="0" w:color="auto"/>
            <w:bottom w:val="none" w:sz="0" w:space="0" w:color="auto"/>
            <w:right w:val="none" w:sz="0" w:space="0" w:color="auto"/>
          </w:divBdr>
        </w:div>
        <w:div w:id="1507750708">
          <w:marLeft w:val="0"/>
          <w:marRight w:val="0"/>
          <w:marTop w:val="0"/>
          <w:marBottom w:val="0"/>
          <w:divBdr>
            <w:top w:val="none" w:sz="0" w:space="0" w:color="auto"/>
            <w:left w:val="none" w:sz="0" w:space="0" w:color="auto"/>
            <w:bottom w:val="none" w:sz="0" w:space="0" w:color="auto"/>
            <w:right w:val="none" w:sz="0" w:space="0" w:color="auto"/>
          </w:divBdr>
        </w:div>
        <w:div w:id="2016222346">
          <w:marLeft w:val="0"/>
          <w:marRight w:val="0"/>
          <w:marTop w:val="0"/>
          <w:marBottom w:val="0"/>
          <w:divBdr>
            <w:top w:val="none" w:sz="0" w:space="0" w:color="auto"/>
            <w:left w:val="none" w:sz="0" w:space="0" w:color="auto"/>
            <w:bottom w:val="none" w:sz="0" w:space="0" w:color="auto"/>
            <w:right w:val="none" w:sz="0" w:space="0" w:color="auto"/>
          </w:divBdr>
        </w:div>
        <w:div w:id="2068842531">
          <w:marLeft w:val="0"/>
          <w:marRight w:val="0"/>
          <w:marTop w:val="0"/>
          <w:marBottom w:val="0"/>
          <w:divBdr>
            <w:top w:val="none" w:sz="0" w:space="0" w:color="auto"/>
            <w:left w:val="none" w:sz="0" w:space="0" w:color="auto"/>
            <w:bottom w:val="none" w:sz="0" w:space="0" w:color="auto"/>
            <w:right w:val="none" w:sz="0" w:space="0" w:color="auto"/>
          </w:divBdr>
        </w:div>
      </w:divsChild>
    </w:div>
    <w:div w:id="1633167319">
      <w:bodyDiv w:val="1"/>
      <w:marLeft w:val="0"/>
      <w:marRight w:val="0"/>
      <w:marTop w:val="0"/>
      <w:marBottom w:val="0"/>
      <w:divBdr>
        <w:top w:val="none" w:sz="0" w:space="0" w:color="auto"/>
        <w:left w:val="none" w:sz="0" w:space="0" w:color="auto"/>
        <w:bottom w:val="none" w:sz="0" w:space="0" w:color="auto"/>
        <w:right w:val="none" w:sz="0" w:space="0" w:color="auto"/>
      </w:divBdr>
    </w:div>
    <w:div w:id="1951887485">
      <w:bodyDiv w:val="1"/>
      <w:marLeft w:val="0"/>
      <w:marRight w:val="0"/>
      <w:marTop w:val="0"/>
      <w:marBottom w:val="0"/>
      <w:divBdr>
        <w:top w:val="none" w:sz="0" w:space="0" w:color="auto"/>
        <w:left w:val="none" w:sz="0" w:space="0" w:color="auto"/>
        <w:bottom w:val="none" w:sz="0" w:space="0" w:color="auto"/>
        <w:right w:val="none" w:sz="0" w:space="0" w:color="auto"/>
      </w:divBdr>
    </w:div>
    <w:div w:id="199355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msl.mt.gov/MSDI/Elevation/MSDIDataImprovementPlan_ELEVATION.xls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C4A01A38A7E44A8DCE3135791D2B1E" ma:contentTypeVersion="4" ma:contentTypeDescription="Create a new document." ma:contentTypeScope="" ma:versionID="fcd7b34aa160905fdbdc9e4395aeed89">
  <xsd:schema xmlns:xsd="http://www.w3.org/2001/XMLSchema" xmlns:xs="http://www.w3.org/2001/XMLSchema" xmlns:p="http://schemas.microsoft.com/office/2006/metadata/properties" xmlns:ns2="397db86a-eacd-458f-9948-cf4013a94ee2" targetNamespace="http://schemas.microsoft.com/office/2006/metadata/properties" ma:root="true" ma:fieldsID="f308877346c1415ac3219312c3d9576a" ns2:_="">
    <xsd:import namespace="397db86a-eacd-458f-9948-cf4013a94e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db86a-eacd-458f-9948-cf4013a94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6451F-1AB6-49AA-914F-1A6E44883B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01CD2F-051B-4AAC-AB6D-7E9293313F42}">
  <ds:schemaRefs>
    <ds:schemaRef ds:uri="http://schemas.microsoft.com/sharepoint/v3/contenttype/forms"/>
  </ds:schemaRefs>
</ds:datastoreItem>
</file>

<file path=customXml/itemProps3.xml><?xml version="1.0" encoding="utf-8"?>
<ds:datastoreItem xmlns:ds="http://schemas.openxmlformats.org/officeDocument/2006/customXml" ds:itemID="{D8F04632-79F2-44C9-8BA3-1E602DDDD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db86a-eacd-458f-9948-cf4013a94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8D7BF5-4DCF-46DE-82A4-561A9708A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14</Pages>
  <Words>4304</Words>
  <Characters>24537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28784</CharactersWithSpaces>
  <SharedDoc>false</SharedDoc>
  <HLinks>
    <vt:vector size="84" baseType="variant">
      <vt:variant>
        <vt:i4>7536758</vt:i4>
      </vt:variant>
      <vt:variant>
        <vt:i4>78</vt:i4>
      </vt:variant>
      <vt:variant>
        <vt:i4>0</vt:i4>
      </vt:variant>
      <vt:variant>
        <vt:i4>5</vt:i4>
      </vt:variant>
      <vt:variant>
        <vt:lpwstr>https://docs.msl.mt.gov/MSDI/Elevation</vt:lpwstr>
      </vt:variant>
      <vt:variant>
        <vt:lpwstr/>
      </vt:variant>
      <vt:variant>
        <vt:i4>3539066</vt:i4>
      </vt:variant>
      <vt:variant>
        <vt:i4>75</vt:i4>
      </vt:variant>
      <vt:variant>
        <vt:i4>0</vt:i4>
      </vt:variant>
      <vt:variant>
        <vt:i4>5</vt:i4>
      </vt:variant>
      <vt:variant>
        <vt:lpwstr>https://ftpgeoinfo.msl.mt.gov/Documents/MSDI/Elevation</vt:lpwstr>
      </vt:variant>
      <vt:variant>
        <vt:lpwstr/>
      </vt:variant>
      <vt:variant>
        <vt:i4>1310775</vt:i4>
      </vt:variant>
      <vt:variant>
        <vt:i4>68</vt:i4>
      </vt:variant>
      <vt:variant>
        <vt:i4>0</vt:i4>
      </vt:variant>
      <vt:variant>
        <vt:i4>5</vt:i4>
      </vt:variant>
      <vt:variant>
        <vt:lpwstr/>
      </vt:variant>
      <vt:variant>
        <vt:lpwstr>_Toc236121106</vt:lpwstr>
      </vt:variant>
      <vt:variant>
        <vt:i4>1310775</vt:i4>
      </vt:variant>
      <vt:variant>
        <vt:i4>62</vt:i4>
      </vt:variant>
      <vt:variant>
        <vt:i4>0</vt:i4>
      </vt:variant>
      <vt:variant>
        <vt:i4>5</vt:i4>
      </vt:variant>
      <vt:variant>
        <vt:lpwstr/>
      </vt:variant>
      <vt:variant>
        <vt:lpwstr>_Toc236121105</vt:lpwstr>
      </vt:variant>
      <vt:variant>
        <vt:i4>1310775</vt:i4>
      </vt:variant>
      <vt:variant>
        <vt:i4>56</vt:i4>
      </vt:variant>
      <vt:variant>
        <vt:i4>0</vt:i4>
      </vt:variant>
      <vt:variant>
        <vt:i4>5</vt:i4>
      </vt:variant>
      <vt:variant>
        <vt:lpwstr/>
      </vt:variant>
      <vt:variant>
        <vt:lpwstr>_Toc236121104</vt:lpwstr>
      </vt:variant>
      <vt:variant>
        <vt:i4>1310775</vt:i4>
      </vt:variant>
      <vt:variant>
        <vt:i4>50</vt:i4>
      </vt:variant>
      <vt:variant>
        <vt:i4>0</vt:i4>
      </vt:variant>
      <vt:variant>
        <vt:i4>5</vt:i4>
      </vt:variant>
      <vt:variant>
        <vt:lpwstr/>
      </vt:variant>
      <vt:variant>
        <vt:lpwstr>_Toc236121103</vt:lpwstr>
      </vt:variant>
      <vt:variant>
        <vt:i4>1310775</vt:i4>
      </vt:variant>
      <vt:variant>
        <vt:i4>44</vt:i4>
      </vt:variant>
      <vt:variant>
        <vt:i4>0</vt:i4>
      </vt:variant>
      <vt:variant>
        <vt:i4>5</vt:i4>
      </vt:variant>
      <vt:variant>
        <vt:lpwstr/>
      </vt:variant>
      <vt:variant>
        <vt:lpwstr>_Toc236121102</vt:lpwstr>
      </vt:variant>
      <vt:variant>
        <vt:i4>1900598</vt:i4>
      </vt:variant>
      <vt:variant>
        <vt:i4>38</vt:i4>
      </vt:variant>
      <vt:variant>
        <vt:i4>0</vt:i4>
      </vt:variant>
      <vt:variant>
        <vt:i4>5</vt:i4>
      </vt:variant>
      <vt:variant>
        <vt:lpwstr/>
      </vt:variant>
      <vt:variant>
        <vt:lpwstr>_Toc236121093</vt:lpwstr>
      </vt:variant>
      <vt:variant>
        <vt:i4>1835062</vt:i4>
      </vt:variant>
      <vt:variant>
        <vt:i4>32</vt:i4>
      </vt:variant>
      <vt:variant>
        <vt:i4>0</vt:i4>
      </vt:variant>
      <vt:variant>
        <vt:i4>5</vt:i4>
      </vt:variant>
      <vt:variant>
        <vt:lpwstr/>
      </vt:variant>
      <vt:variant>
        <vt:lpwstr>_Toc236121081</vt:lpwstr>
      </vt:variant>
      <vt:variant>
        <vt:i4>1835062</vt:i4>
      </vt:variant>
      <vt:variant>
        <vt:i4>26</vt:i4>
      </vt:variant>
      <vt:variant>
        <vt:i4>0</vt:i4>
      </vt:variant>
      <vt:variant>
        <vt:i4>5</vt:i4>
      </vt:variant>
      <vt:variant>
        <vt:lpwstr/>
      </vt:variant>
      <vt:variant>
        <vt:lpwstr>_Toc236121080</vt:lpwstr>
      </vt:variant>
      <vt:variant>
        <vt:i4>1245238</vt:i4>
      </vt:variant>
      <vt:variant>
        <vt:i4>20</vt:i4>
      </vt:variant>
      <vt:variant>
        <vt:i4>0</vt:i4>
      </vt:variant>
      <vt:variant>
        <vt:i4>5</vt:i4>
      </vt:variant>
      <vt:variant>
        <vt:lpwstr/>
      </vt:variant>
      <vt:variant>
        <vt:lpwstr>_Toc236121079</vt:lpwstr>
      </vt:variant>
      <vt:variant>
        <vt:i4>1245238</vt:i4>
      </vt:variant>
      <vt:variant>
        <vt:i4>14</vt:i4>
      </vt:variant>
      <vt:variant>
        <vt:i4>0</vt:i4>
      </vt:variant>
      <vt:variant>
        <vt:i4>5</vt:i4>
      </vt:variant>
      <vt:variant>
        <vt:lpwstr/>
      </vt:variant>
      <vt:variant>
        <vt:lpwstr>_Toc236121078</vt:lpwstr>
      </vt:variant>
      <vt:variant>
        <vt:i4>1245238</vt:i4>
      </vt:variant>
      <vt:variant>
        <vt:i4>8</vt:i4>
      </vt:variant>
      <vt:variant>
        <vt:i4>0</vt:i4>
      </vt:variant>
      <vt:variant>
        <vt:i4>5</vt:i4>
      </vt:variant>
      <vt:variant>
        <vt:lpwstr/>
      </vt:variant>
      <vt:variant>
        <vt:lpwstr>_Toc236121077</vt:lpwstr>
      </vt:variant>
      <vt:variant>
        <vt:i4>1245238</vt:i4>
      </vt:variant>
      <vt:variant>
        <vt:i4>2</vt:i4>
      </vt:variant>
      <vt:variant>
        <vt:i4>0</vt:i4>
      </vt:variant>
      <vt:variant>
        <vt:i4>5</vt:i4>
      </vt:variant>
      <vt:variant>
        <vt:lpwstr/>
      </vt:variant>
      <vt:variant>
        <vt:lpwstr>_Toc236121076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Blandford, Troy</cp:lastModifiedBy>
  <cp:revision>83</cp:revision>
  <dcterms:created xsi:type="dcterms:W3CDTF">2026-07-19T21:29:00Z</dcterms:created>
  <dcterms:modified xsi:type="dcterms:W3CDTF">2026-08-02T22:56:00Z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0x01010003C4A01A38A7E44A8DCE3135791D2B1E</vt:lpwstr>
  </property>
</Properties>
</file>